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433BCD" w14:textId="77777777" w:rsidR="006C0C7C" w:rsidRDefault="006C0C7C">
      <w:pPr>
        <w:pStyle w:val="BodyText"/>
        <w:rPr>
          <w:sz w:val="26"/>
        </w:rPr>
      </w:pPr>
    </w:p>
    <w:p w14:paraId="6359F612" w14:textId="77777777" w:rsidR="006C0C7C" w:rsidRDefault="006C0C7C">
      <w:pPr>
        <w:pStyle w:val="BodyText"/>
        <w:rPr>
          <w:sz w:val="26"/>
        </w:rPr>
      </w:pPr>
    </w:p>
    <w:p w14:paraId="0D41FF23" w14:textId="77777777" w:rsidR="006C0C7C" w:rsidRDefault="006C0C7C">
      <w:pPr>
        <w:pStyle w:val="BodyText"/>
        <w:rPr>
          <w:sz w:val="26"/>
        </w:rPr>
      </w:pPr>
    </w:p>
    <w:p w14:paraId="37E59916" w14:textId="77777777" w:rsidR="006C0C7C" w:rsidRDefault="005273D3">
      <w:pPr>
        <w:pStyle w:val="Heading1"/>
        <w:spacing w:before="217"/>
      </w:pPr>
      <w:r>
        <w:t>INTRODUCTION</w:t>
      </w:r>
    </w:p>
    <w:p w14:paraId="7E2EC3BF" w14:textId="77777777" w:rsidR="006C0C7C" w:rsidRDefault="005273D3">
      <w:pPr>
        <w:spacing w:before="79" w:line="451" w:lineRule="auto"/>
        <w:ind w:left="220" w:right="3123" w:firstLine="1178"/>
        <w:rPr>
          <w:b/>
          <w:sz w:val="24"/>
        </w:rPr>
      </w:pPr>
      <w:r>
        <w:br w:type="column"/>
      </w:r>
      <w:r>
        <w:rPr>
          <w:b/>
          <w:sz w:val="24"/>
        </w:rPr>
        <w:t>Chapter 16 PROGRAM ADMINISTRATION</w:t>
      </w:r>
    </w:p>
    <w:p w14:paraId="63185FA9" w14:textId="77777777" w:rsidR="006C0C7C" w:rsidRDefault="006C0C7C">
      <w:pPr>
        <w:spacing w:line="451" w:lineRule="auto"/>
        <w:rPr>
          <w:sz w:val="24"/>
        </w:rPr>
        <w:sectPr w:rsidR="006C0C7C">
          <w:footerReference w:type="default" r:id="rId8"/>
          <w:type w:val="continuous"/>
          <w:pgSz w:w="12240" w:h="15840"/>
          <w:pgMar w:top="1360" w:right="1220" w:bottom="920" w:left="1220" w:header="720" w:footer="739" w:gutter="0"/>
          <w:pgNumType w:start="1"/>
          <w:cols w:num="2" w:space="720" w:equalWidth="0">
            <w:col w:w="2180" w:space="743"/>
            <w:col w:w="6877"/>
          </w:cols>
        </w:sectPr>
      </w:pPr>
    </w:p>
    <w:p w14:paraId="391AB82D" w14:textId="77777777" w:rsidR="006C0C7C" w:rsidRDefault="006C0C7C">
      <w:pPr>
        <w:pStyle w:val="BodyText"/>
        <w:spacing w:before="3"/>
        <w:rPr>
          <w:b/>
          <w:sz w:val="13"/>
        </w:rPr>
      </w:pPr>
    </w:p>
    <w:p w14:paraId="511871C2" w14:textId="77777777" w:rsidR="006C0C7C" w:rsidRDefault="005273D3">
      <w:pPr>
        <w:pStyle w:val="BodyText"/>
        <w:spacing w:before="90" w:line="276" w:lineRule="auto"/>
        <w:ind w:left="220" w:right="723"/>
      </w:pPr>
      <w:r>
        <w:t>This chapter discusses administrative policies and practices that are relevant to the activities covered in this plan. The policies are discussed in seven parts as described below:</w:t>
      </w:r>
    </w:p>
    <w:p w14:paraId="31D11065" w14:textId="77777777" w:rsidR="006C0C7C" w:rsidRDefault="005273D3">
      <w:pPr>
        <w:pStyle w:val="BodyText"/>
        <w:spacing w:before="200" w:line="276" w:lineRule="auto"/>
        <w:ind w:left="940" w:right="327"/>
      </w:pPr>
      <w:r>
        <w:rPr>
          <w:u w:val="single"/>
        </w:rPr>
        <w:t>Part I: Setting Utility Allowances</w:t>
      </w:r>
      <w:r>
        <w:t>. This part describes how utility allowances are established and revised. Also discussed are the requirements to establish surcharges for excess consumption of PHA furnished utilities.</w:t>
      </w:r>
    </w:p>
    <w:p w14:paraId="3C6EC244" w14:textId="77777777" w:rsidR="006C0C7C" w:rsidRDefault="005273D3">
      <w:pPr>
        <w:pStyle w:val="BodyText"/>
        <w:spacing w:before="201" w:line="276" w:lineRule="auto"/>
        <w:ind w:left="940" w:right="327"/>
      </w:pPr>
      <w:r>
        <w:rPr>
          <w:u w:val="single"/>
        </w:rPr>
        <w:t>Part II: Establishing Flat Rents</w:t>
      </w:r>
      <w:r>
        <w:t>. This part describes the requirements and policies related to establishing and updating flat rent amounts.</w:t>
      </w:r>
    </w:p>
    <w:p w14:paraId="001F80CD" w14:textId="77777777" w:rsidR="006C0C7C" w:rsidRDefault="005273D3">
      <w:pPr>
        <w:pStyle w:val="BodyText"/>
        <w:spacing w:before="199" w:line="276" w:lineRule="auto"/>
        <w:ind w:left="940" w:right="322"/>
      </w:pPr>
      <w:r>
        <w:rPr>
          <w:u w:val="single"/>
        </w:rPr>
        <w:t>Part III: Repayment of Family Debts</w:t>
      </w:r>
      <w:r>
        <w:t>. This part describes policies for recovery of monies that have been underpaid by families and describes the circumstances under which the PHA will offer repayment agreements to owners and families. Also discussed are the consequences for failure to make payments in accordance with a repayment agreement.</w:t>
      </w:r>
    </w:p>
    <w:p w14:paraId="539CE0A2" w14:textId="77777777" w:rsidR="006C0C7C" w:rsidRDefault="005273D3">
      <w:pPr>
        <w:pStyle w:val="BodyText"/>
        <w:spacing w:before="200" w:line="276" w:lineRule="auto"/>
        <w:ind w:left="940" w:right="773"/>
      </w:pPr>
      <w:r>
        <w:rPr>
          <w:u w:val="single"/>
        </w:rPr>
        <w:t>Part IV: Public Housing Assessment System (PHAS).</w:t>
      </w:r>
      <w:r>
        <w:t xml:space="preserve"> This part describes the PHAS indicators, how PHAs are scored under PHAS, and how those scores affect a PHA.</w:t>
      </w:r>
    </w:p>
    <w:p w14:paraId="44628E7B" w14:textId="77777777" w:rsidR="006C0C7C" w:rsidRDefault="005273D3">
      <w:pPr>
        <w:pStyle w:val="BodyText"/>
        <w:spacing w:before="201" w:line="276" w:lineRule="auto"/>
        <w:ind w:left="940" w:right="582"/>
      </w:pPr>
      <w:r>
        <w:rPr>
          <w:u w:val="single"/>
        </w:rPr>
        <w:t>Part V: Record-Keeping</w:t>
      </w:r>
      <w:r>
        <w:t>. All aspects of the program involve certain types of record- keeping. This part outlines the privacy rights of applicants and participants and record retention policies the PHA will follow.</w:t>
      </w:r>
    </w:p>
    <w:p w14:paraId="1400CE91" w14:textId="77777777" w:rsidR="005273D3" w:rsidRPr="002F78C9" w:rsidRDefault="005273D3" w:rsidP="005273D3">
      <w:pPr>
        <w:pStyle w:val="BodyText"/>
        <w:spacing w:before="200" w:line="276" w:lineRule="auto"/>
        <w:ind w:left="940" w:right="260"/>
      </w:pPr>
      <w:r>
        <w:rPr>
          <w:u w:val="single"/>
        </w:rPr>
        <w:t>Part VI: Reporting and Record Keeping for Children with Environmental Intervention Blood Lead Level.</w:t>
      </w:r>
      <w:r>
        <w:t xml:space="preserve"> This part describes the PHA’s reporting responsibilities related to children with environmental intervention blood levels that are living in public housing.</w:t>
      </w:r>
    </w:p>
    <w:p w14:paraId="7E0147E5" w14:textId="77777777" w:rsidR="006C0C7C" w:rsidRDefault="005273D3">
      <w:pPr>
        <w:pStyle w:val="BodyText"/>
        <w:spacing w:before="200" w:line="276" w:lineRule="auto"/>
        <w:ind w:left="940" w:right="260"/>
      </w:pPr>
      <w:r>
        <w:rPr>
          <w:u w:val="single"/>
        </w:rPr>
        <w:t>Part VII: Violence against Women Act (VAWA</w:t>
      </w:r>
      <w:r>
        <w:t>): Notification, Documentation, and Confidentiality. This part contains key terms used in VAWA and describes requirements related to notifying families and owners about their rights and responsibilities under VAWA; requesting documentation from victims of domestic violence, dating violence, and stalking; and maintaining the confidentiality of information obtained from victims.</w:t>
      </w:r>
    </w:p>
    <w:p w14:paraId="12301760" w14:textId="77777777" w:rsidR="006C5863" w:rsidRDefault="002F78C9" w:rsidP="002F78C9">
      <w:pPr>
        <w:tabs>
          <w:tab w:val="left" w:pos="180"/>
        </w:tabs>
        <w:spacing w:line="276" w:lineRule="auto"/>
        <w:ind w:left="180" w:firstLine="810"/>
      </w:pPr>
      <w:r>
        <w:tab/>
      </w:r>
    </w:p>
    <w:p w14:paraId="59FD8907" w14:textId="77777777" w:rsidR="006C5863" w:rsidRDefault="006C5863" w:rsidP="002F78C9">
      <w:pPr>
        <w:spacing w:line="276" w:lineRule="auto"/>
        <w:ind w:left="900"/>
        <w:sectPr w:rsidR="006C5863">
          <w:type w:val="continuous"/>
          <w:pgSz w:w="12240" w:h="15840"/>
          <w:pgMar w:top="1360" w:right="1220" w:bottom="920" w:left="1220" w:header="720" w:footer="720" w:gutter="0"/>
          <w:cols w:space="720"/>
        </w:sectPr>
      </w:pPr>
    </w:p>
    <w:p w14:paraId="6E7EB27F" w14:textId="77777777" w:rsidR="006C0C7C" w:rsidRDefault="005273D3">
      <w:pPr>
        <w:pStyle w:val="Heading1"/>
        <w:spacing w:before="79" w:line="451" w:lineRule="auto"/>
        <w:ind w:right="1182" w:firstLine="962"/>
      </w:pPr>
      <w:r>
        <w:lastRenderedPageBreak/>
        <w:t>PART I: SETTING UTILITY ALLOWANCES [24 CFR 965 Subpart E] 16-I.A. OVERVIEW</w:t>
      </w:r>
    </w:p>
    <w:p w14:paraId="0D92B3FE" w14:textId="77777777" w:rsidR="006C0C7C" w:rsidRDefault="005273D3">
      <w:pPr>
        <w:pStyle w:val="BodyText"/>
        <w:spacing w:line="276" w:lineRule="auto"/>
        <w:ind w:left="220" w:right="327"/>
      </w:pPr>
      <w:r>
        <w:t>PHAs must establish allowances for PHA furnished utilities for all check metered utilities and for resident purchased utilities for all utilities purchased directly by residents from a utility supplier [24 CFR 965.502(a)].</w:t>
      </w:r>
    </w:p>
    <w:p w14:paraId="500FC282" w14:textId="77777777" w:rsidR="006C0C7C" w:rsidRDefault="005273D3">
      <w:pPr>
        <w:pStyle w:val="BodyText"/>
        <w:spacing w:before="197" w:line="276" w:lineRule="auto"/>
        <w:ind w:left="220" w:right="260"/>
      </w:pPr>
      <w:r>
        <w:t>PHAs must also establish surcharges for excess consumption of PHA furnished utilities [24 CFR 965.506].</w:t>
      </w:r>
    </w:p>
    <w:p w14:paraId="07A5C7A7" w14:textId="77777777" w:rsidR="006C0C7C" w:rsidRDefault="005273D3">
      <w:pPr>
        <w:pStyle w:val="BodyText"/>
        <w:spacing w:before="200" w:line="276" w:lineRule="auto"/>
        <w:ind w:left="220" w:right="723"/>
      </w:pPr>
      <w:r>
        <w:t>The PHA must maintain a record that documents the basis on which utility allowances and scheduled surcharges are established and revised, and the record must be made available for inspection by residents [24 CFR 965.506(b)].</w:t>
      </w:r>
    </w:p>
    <w:p w14:paraId="7DE8FDA6" w14:textId="77777777" w:rsidR="006C0C7C" w:rsidRDefault="005273D3">
      <w:pPr>
        <w:pStyle w:val="Heading1"/>
        <w:spacing w:before="201"/>
      </w:pPr>
      <w:r>
        <w:t>16-I.B. UTILITY ALLOWANCES</w:t>
      </w:r>
    </w:p>
    <w:p w14:paraId="6E57BB0B" w14:textId="77777777" w:rsidR="006C0C7C" w:rsidRDefault="006C0C7C">
      <w:pPr>
        <w:pStyle w:val="BodyText"/>
        <w:spacing w:before="1"/>
        <w:rPr>
          <w:b/>
          <w:sz w:val="21"/>
        </w:rPr>
      </w:pPr>
    </w:p>
    <w:p w14:paraId="36AF8B02" w14:textId="77777777" w:rsidR="006C0C7C" w:rsidRDefault="005273D3">
      <w:pPr>
        <w:pStyle w:val="BodyText"/>
        <w:spacing w:line="276" w:lineRule="auto"/>
        <w:ind w:left="220" w:right="506"/>
        <w:jc w:val="both"/>
      </w:pPr>
      <w:r>
        <w:t>The PHA must establish separate allowances for each utility and for each category of</w:t>
      </w:r>
      <w:r>
        <w:rPr>
          <w:spacing w:val="-22"/>
        </w:rPr>
        <w:t xml:space="preserve"> </w:t>
      </w:r>
      <w:r>
        <w:t>dwelling units the PHA determines to be reasonable comparable as to factors affecting utility usage [24 CFR</w:t>
      </w:r>
      <w:r>
        <w:rPr>
          <w:spacing w:val="-1"/>
        </w:rPr>
        <w:t xml:space="preserve"> </w:t>
      </w:r>
      <w:r>
        <w:t>965.503].</w:t>
      </w:r>
    </w:p>
    <w:p w14:paraId="0774A8DE" w14:textId="77777777" w:rsidR="006C0C7C" w:rsidRDefault="005273D3">
      <w:pPr>
        <w:pStyle w:val="BodyText"/>
        <w:spacing w:before="200" w:line="276" w:lineRule="auto"/>
        <w:ind w:left="220" w:right="327"/>
      </w:pPr>
      <w:r>
        <w:t>The objective of a PHA in establishing utility allowances for each dwelling unit category and unit size is to approximate a reasonable consumption of utilities by an energy conservative household of modest circumstances consistent with the requirements of a safe, sanitary, and healthful living environment [24 CFR 965.505].</w:t>
      </w:r>
    </w:p>
    <w:p w14:paraId="217EF7A9" w14:textId="77777777" w:rsidR="006C0C7C" w:rsidRDefault="005273D3">
      <w:pPr>
        <w:pStyle w:val="BodyText"/>
        <w:spacing w:before="199" w:line="276" w:lineRule="auto"/>
        <w:ind w:left="220" w:right="343"/>
      </w:pPr>
      <w:r>
        <w:t>Utilities include gas, electricity, fuel for heating, water, sewerage, and solid waste disposal for a dwelling unit. In addition, if the PHA does not furnish a range and refrigerator, the family must be granted a utility allowance for the range and refrigerator they provide [24 CFR 965.505].</w:t>
      </w:r>
    </w:p>
    <w:p w14:paraId="1EEFCBEA" w14:textId="77777777" w:rsidR="006C0C7C" w:rsidRDefault="005273D3">
      <w:pPr>
        <w:pStyle w:val="BodyText"/>
        <w:spacing w:before="200" w:line="276" w:lineRule="auto"/>
        <w:ind w:left="220" w:right="736"/>
      </w:pPr>
      <w:r>
        <w:t>Costs for telephone, cable/satellite TV, and internet services are not considered utilities [PH Occupancy GB, p. 138].</w:t>
      </w:r>
    </w:p>
    <w:p w14:paraId="706E885A" w14:textId="77777777" w:rsidR="006C0C7C" w:rsidRDefault="005273D3">
      <w:pPr>
        <w:pStyle w:val="BodyText"/>
        <w:spacing w:before="201" w:line="276" w:lineRule="auto"/>
        <w:ind w:left="220" w:right="149"/>
      </w:pPr>
      <w:r>
        <w:t>Utility allowance amounts will vary by the rates in effect, size and type of unit, climatic location and sitting of the unit, type of construction, energy efficiency of the dwelling unit, and other factors related to the physical condition of the unit. Utility allowance amounts will also vary by residential demographic characteristics affecting home energy usage [PH Occupancy GB, p.138].</w:t>
      </w:r>
    </w:p>
    <w:p w14:paraId="5B71D550" w14:textId="77777777" w:rsidR="006C0C7C" w:rsidRDefault="005273D3">
      <w:pPr>
        <w:pStyle w:val="Heading1"/>
        <w:spacing w:before="200"/>
      </w:pPr>
      <w:r>
        <w:t>Air Conditioning</w:t>
      </w:r>
    </w:p>
    <w:p w14:paraId="39113834" w14:textId="77777777" w:rsidR="006C0C7C" w:rsidRDefault="006C0C7C">
      <w:pPr>
        <w:pStyle w:val="BodyText"/>
        <w:rPr>
          <w:b/>
          <w:sz w:val="21"/>
        </w:rPr>
      </w:pPr>
    </w:p>
    <w:p w14:paraId="64A5EA12" w14:textId="77777777" w:rsidR="006C0C7C" w:rsidRDefault="005273D3">
      <w:pPr>
        <w:pStyle w:val="BodyText"/>
        <w:spacing w:before="1" w:line="276" w:lineRule="auto"/>
        <w:ind w:left="220" w:right="260"/>
      </w:pPr>
      <w:r>
        <w:t>“If a PHA installs air conditioning, it shall provide, to the maximum extent economically feasible, systems that give residents the option of choosing to use air conditioning in their units. The design of systems that offer each resident the option to choose air conditioning shall include retail meters or check meters, and residents shall pay for the energy used in its operation. For systems that offer residents the option to choose air conditioning but cannot be check metered,</w:t>
      </w:r>
    </w:p>
    <w:p w14:paraId="4C11A3CF" w14:textId="77777777" w:rsidR="006C0C7C" w:rsidRDefault="006C0C7C">
      <w:pPr>
        <w:spacing w:line="276" w:lineRule="auto"/>
        <w:sectPr w:rsidR="006C0C7C">
          <w:pgSz w:w="12240" w:h="15840"/>
          <w:pgMar w:top="1360" w:right="1220" w:bottom="920" w:left="1220" w:header="0" w:footer="739" w:gutter="0"/>
          <w:cols w:space="720"/>
        </w:sectPr>
      </w:pPr>
    </w:p>
    <w:p w14:paraId="5BC60BEC" w14:textId="77777777" w:rsidR="006C0C7C" w:rsidRDefault="005273D3">
      <w:pPr>
        <w:pStyle w:val="BodyText"/>
        <w:spacing w:before="79" w:line="276" w:lineRule="auto"/>
        <w:ind w:left="220" w:right="272"/>
        <w:jc w:val="both"/>
      </w:pPr>
      <w:r>
        <w:lastRenderedPageBreak/>
        <w:t>residents are to be surcharged in accordance with 24 CFR 965.506. If an air conditioning system does not provide for resident option, residents are not to be charged, and these systems should be avoided whenever possible” [24 CFR 965.505(e)].</w:t>
      </w:r>
    </w:p>
    <w:p w14:paraId="57C440C3" w14:textId="77777777" w:rsidR="006C0C7C" w:rsidRDefault="005273D3">
      <w:pPr>
        <w:pStyle w:val="Heading1"/>
        <w:spacing w:before="200"/>
        <w:ind w:left="940"/>
      </w:pPr>
      <w:r>
        <w:rPr>
          <w:u w:val="thick"/>
        </w:rPr>
        <w:t>MHA Policy</w:t>
      </w:r>
    </w:p>
    <w:p w14:paraId="1EF5657D" w14:textId="77777777" w:rsidR="006C0C7C" w:rsidRDefault="006C0C7C">
      <w:pPr>
        <w:pStyle w:val="BodyText"/>
        <w:spacing w:before="1"/>
        <w:rPr>
          <w:b/>
          <w:sz w:val="21"/>
        </w:rPr>
      </w:pPr>
    </w:p>
    <w:p w14:paraId="47432E6C" w14:textId="77777777" w:rsidR="006C0C7C" w:rsidRDefault="005273D3">
      <w:pPr>
        <w:pStyle w:val="BodyText"/>
        <w:ind w:left="940"/>
      </w:pPr>
      <w:r>
        <w:t>The PHA has installed air conditioning.</w:t>
      </w:r>
    </w:p>
    <w:p w14:paraId="7758C00B" w14:textId="77777777" w:rsidR="006C0C7C" w:rsidRDefault="006C0C7C">
      <w:pPr>
        <w:pStyle w:val="BodyText"/>
        <w:spacing w:before="10"/>
        <w:rPr>
          <w:sz w:val="20"/>
        </w:rPr>
      </w:pPr>
    </w:p>
    <w:p w14:paraId="22CC6BE5" w14:textId="77777777" w:rsidR="006C0C7C" w:rsidRDefault="005273D3">
      <w:pPr>
        <w:pStyle w:val="BodyText"/>
        <w:spacing w:line="276" w:lineRule="auto"/>
        <w:ind w:left="940" w:right="361"/>
      </w:pPr>
      <w:r>
        <w:t>Air conditioning has been installed in all units at JC Plaza, Riverview East, and Maurice View Plaza. Tenants receive a utility allowance.</w:t>
      </w:r>
    </w:p>
    <w:p w14:paraId="1753FA73" w14:textId="77777777" w:rsidR="006C0C7C" w:rsidRDefault="005273D3">
      <w:pPr>
        <w:pStyle w:val="BodyText"/>
        <w:spacing w:before="201" w:line="276" w:lineRule="auto"/>
        <w:ind w:left="940" w:right="327"/>
      </w:pPr>
      <w:r>
        <w:t>Riverview West the tenants must request that the PHA activate the units. In such cases, the tenant will be charged a surcharge based on the bedroom size of the unit.</w:t>
      </w:r>
    </w:p>
    <w:p w14:paraId="0BBBC17B" w14:textId="77777777" w:rsidR="006C0C7C" w:rsidRDefault="005273D3">
      <w:pPr>
        <w:pStyle w:val="BodyText"/>
        <w:spacing w:before="201" w:line="276" w:lineRule="auto"/>
        <w:ind w:left="940" w:right="694"/>
        <w:jc w:val="both"/>
      </w:pPr>
      <w:r>
        <w:t>Holly Berry Court</w:t>
      </w:r>
      <w:r w:rsidR="002F78C9">
        <w:t xml:space="preserve"> </w:t>
      </w:r>
      <w:r w:rsidR="00DE62FF">
        <w:t xml:space="preserve">and Ferguson Court </w:t>
      </w:r>
      <w:r>
        <w:t>tenants can install their own window air conditioner units. In such cases, the tenant will be charged a surcharge based on the number of air conditioning units installed in their apartment.</w:t>
      </w:r>
    </w:p>
    <w:p w14:paraId="3CFA4BE6" w14:textId="77777777" w:rsidR="006C0C7C" w:rsidRDefault="005273D3">
      <w:pPr>
        <w:pStyle w:val="Heading1"/>
        <w:spacing w:before="199"/>
      </w:pPr>
      <w:r>
        <w:t>Utility Allowance Revisions [24 CFR 965.57]</w:t>
      </w:r>
    </w:p>
    <w:p w14:paraId="693E8394" w14:textId="77777777" w:rsidR="006C0C7C" w:rsidRDefault="006C0C7C">
      <w:pPr>
        <w:pStyle w:val="BodyText"/>
        <w:spacing w:before="10"/>
        <w:rPr>
          <w:b/>
          <w:sz w:val="20"/>
        </w:rPr>
      </w:pPr>
    </w:p>
    <w:p w14:paraId="1E4ABA7B" w14:textId="77777777" w:rsidR="006C0C7C" w:rsidRDefault="005273D3">
      <w:pPr>
        <w:pStyle w:val="BodyText"/>
        <w:spacing w:before="1" w:line="276" w:lineRule="auto"/>
        <w:ind w:left="220" w:right="723"/>
      </w:pPr>
      <w:r>
        <w:t>The PHA must review at least annually the basis on which utility allowances have been established and must revise the allowances if necessary to adhere to the standards for establishing utility allowances that are contained in 24 CFR 965.505.</w:t>
      </w:r>
    </w:p>
    <w:p w14:paraId="33E0C1DF" w14:textId="77777777" w:rsidR="006C0C7C" w:rsidRDefault="005273D3">
      <w:pPr>
        <w:pStyle w:val="BodyText"/>
        <w:spacing w:before="199" w:line="276" w:lineRule="auto"/>
        <w:ind w:left="220" w:right="260"/>
      </w:pPr>
      <w:r>
        <w:t>The PHA may revise its allowances for resident purchased utilities between annual reviews if there is a rate change, and is required to do so if such change, by itself or together with prior rate changes not adjusted for, result in a change of 10 percent or more from the rate on which the allowance was based.</w:t>
      </w:r>
    </w:p>
    <w:p w14:paraId="507A62E6" w14:textId="77777777" w:rsidR="006C0C7C" w:rsidRDefault="005273D3">
      <w:pPr>
        <w:pStyle w:val="BodyText"/>
        <w:spacing w:before="203" w:line="276" w:lineRule="auto"/>
        <w:ind w:left="220" w:right="149"/>
      </w:pPr>
      <w:r>
        <w:t>Adjustments to resident payments because of such changes must be retroactive to the first day of the month following the month in which the last rate change considered became effective.</w:t>
      </w:r>
    </w:p>
    <w:p w14:paraId="0230F810" w14:textId="77777777" w:rsidR="006C0C7C" w:rsidRDefault="005273D3">
      <w:pPr>
        <w:pStyle w:val="Heading1"/>
        <w:spacing w:before="200"/>
        <w:ind w:left="940"/>
      </w:pPr>
      <w:r>
        <w:rPr>
          <w:u w:val="thick"/>
        </w:rPr>
        <w:t>MHA Policy</w:t>
      </w:r>
    </w:p>
    <w:p w14:paraId="2BA91D82" w14:textId="77777777" w:rsidR="006C0C7C" w:rsidRDefault="006C0C7C">
      <w:pPr>
        <w:pStyle w:val="BodyText"/>
        <w:spacing w:before="10"/>
        <w:rPr>
          <w:b/>
          <w:sz w:val="20"/>
        </w:rPr>
      </w:pPr>
    </w:p>
    <w:p w14:paraId="11DDD7B4" w14:textId="77777777" w:rsidR="006C0C7C" w:rsidRDefault="005273D3">
      <w:pPr>
        <w:pStyle w:val="BodyText"/>
        <w:spacing w:line="276" w:lineRule="auto"/>
        <w:ind w:left="940" w:right="1048"/>
      </w:pPr>
      <w:r>
        <w:t>Between annual reviews of utility allowances, the PHA will only revise its utility allowances due to a rate change, when required to by the regulation.</w:t>
      </w:r>
    </w:p>
    <w:p w14:paraId="06A8C5D9" w14:textId="77777777" w:rsidR="006C0C7C" w:rsidRDefault="005273D3">
      <w:pPr>
        <w:pStyle w:val="Heading1"/>
        <w:spacing w:before="200"/>
      </w:pPr>
      <w:r>
        <w:t>16-I.C NOTICE REQUIREMENTS</w:t>
      </w:r>
    </w:p>
    <w:p w14:paraId="13BAC4D1" w14:textId="77777777" w:rsidR="006C0C7C" w:rsidRDefault="006C0C7C">
      <w:pPr>
        <w:pStyle w:val="BodyText"/>
        <w:spacing w:before="2"/>
        <w:rPr>
          <w:b/>
          <w:sz w:val="21"/>
        </w:rPr>
      </w:pPr>
    </w:p>
    <w:p w14:paraId="7F1D3521" w14:textId="77777777" w:rsidR="006C0C7C" w:rsidRDefault="005273D3">
      <w:pPr>
        <w:pStyle w:val="BodyText"/>
        <w:spacing w:line="276" w:lineRule="auto"/>
        <w:ind w:left="220"/>
      </w:pPr>
      <w:r>
        <w:t>The PHA must give notice to all residents of proposed allowances and scheduled surcharges, and revisions thereof. The notice must be given in the manner provided in the lease and must:</w:t>
      </w:r>
    </w:p>
    <w:p w14:paraId="1E8C1D77" w14:textId="77777777" w:rsidR="006C0C7C" w:rsidRDefault="005273D3">
      <w:pPr>
        <w:pStyle w:val="ListParagraph"/>
        <w:numPr>
          <w:ilvl w:val="0"/>
          <w:numId w:val="6"/>
        </w:numPr>
        <w:tabs>
          <w:tab w:val="left" w:pos="940"/>
          <w:tab w:val="left" w:pos="941"/>
        </w:tabs>
        <w:spacing w:line="273" w:lineRule="auto"/>
        <w:ind w:right="1025"/>
        <w:rPr>
          <w:sz w:val="24"/>
        </w:rPr>
      </w:pPr>
      <w:r>
        <w:rPr>
          <w:sz w:val="24"/>
        </w:rPr>
        <w:t>Be provided at least 60 days before the proposed effective date of the</w:t>
      </w:r>
      <w:r>
        <w:rPr>
          <w:spacing w:val="-16"/>
          <w:sz w:val="24"/>
        </w:rPr>
        <w:t xml:space="preserve"> </w:t>
      </w:r>
      <w:r>
        <w:rPr>
          <w:sz w:val="24"/>
        </w:rPr>
        <w:t>allowances, scheduled surcharges, or revisions.</w:t>
      </w:r>
    </w:p>
    <w:p w14:paraId="0053160E" w14:textId="77777777" w:rsidR="006C0C7C" w:rsidRDefault="005273D3">
      <w:pPr>
        <w:pStyle w:val="ListParagraph"/>
        <w:numPr>
          <w:ilvl w:val="0"/>
          <w:numId w:val="6"/>
        </w:numPr>
        <w:tabs>
          <w:tab w:val="left" w:pos="940"/>
          <w:tab w:val="left" w:pos="941"/>
        </w:tabs>
        <w:spacing w:before="3" w:line="271" w:lineRule="auto"/>
        <w:ind w:right="548"/>
        <w:rPr>
          <w:sz w:val="24"/>
        </w:rPr>
      </w:pPr>
      <w:r>
        <w:rPr>
          <w:sz w:val="24"/>
        </w:rPr>
        <w:t>Describe the basis for determination of the allowances, schedule of surcharges, or revisions, including a statement of the specific items of equipment and function</w:t>
      </w:r>
      <w:r>
        <w:rPr>
          <w:spacing w:val="-12"/>
          <w:sz w:val="24"/>
        </w:rPr>
        <w:t xml:space="preserve"> </w:t>
      </w:r>
      <w:r>
        <w:rPr>
          <w:sz w:val="24"/>
        </w:rPr>
        <w:t>whose</w:t>
      </w:r>
    </w:p>
    <w:p w14:paraId="0E81D6EE" w14:textId="77777777" w:rsidR="006C0C7C" w:rsidRDefault="006C0C7C">
      <w:pPr>
        <w:spacing w:line="271" w:lineRule="auto"/>
        <w:rPr>
          <w:sz w:val="24"/>
        </w:rPr>
        <w:sectPr w:rsidR="006C0C7C">
          <w:pgSz w:w="12240" w:h="15840"/>
          <w:pgMar w:top="1360" w:right="1220" w:bottom="920" w:left="1220" w:header="0" w:footer="739" w:gutter="0"/>
          <w:cols w:space="720"/>
        </w:sectPr>
      </w:pPr>
    </w:p>
    <w:p w14:paraId="261F12A6" w14:textId="77777777" w:rsidR="006C0C7C" w:rsidRDefault="005273D3">
      <w:pPr>
        <w:pStyle w:val="BodyText"/>
        <w:spacing w:before="79" w:line="276" w:lineRule="auto"/>
        <w:ind w:left="940" w:right="723"/>
      </w:pPr>
      <w:r>
        <w:lastRenderedPageBreak/>
        <w:t>utility consumption requirements were included in determining the amounts of the allowances and schedule of surcharges.</w:t>
      </w:r>
    </w:p>
    <w:p w14:paraId="111B3644" w14:textId="77777777" w:rsidR="006C0C7C" w:rsidRDefault="005273D3">
      <w:pPr>
        <w:pStyle w:val="ListParagraph"/>
        <w:numPr>
          <w:ilvl w:val="0"/>
          <w:numId w:val="6"/>
        </w:numPr>
        <w:tabs>
          <w:tab w:val="left" w:pos="940"/>
          <w:tab w:val="left" w:pos="941"/>
        </w:tabs>
        <w:spacing w:before="1" w:line="273" w:lineRule="auto"/>
        <w:ind w:right="466"/>
        <w:rPr>
          <w:sz w:val="24"/>
        </w:rPr>
      </w:pPr>
      <w:r>
        <w:rPr>
          <w:sz w:val="24"/>
        </w:rPr>
        <w:t>Notify residents of the place where the PHA’s documentation on which allowances</w:t>
      </w:r>
      <w:r>
        <w:rPr>
          <w:spacing w:val="-31"/>
          <w:sz w:val="24"/>
        </w:rPr>
        <w:t xml:space="preserve"> </w:t>
      </w:r>
      <w:r>
        <w:rPr>
          <w:sz w:val="24"/>
        </w:rPr>
        <w:t>and surcharges are based is available for inspection.</w:t>
      </w:r>
    </w:p>
    <w:p w14:paraId="5BFD9117" w14:textId="77777777" w:rsidR="006C0C7C" w:rsidRDefault="005273D3">
      <w:pPr>
        <w:pStyle w:val="ListParagraph"/>
        <w:numPr>
          <w:ilvl w:val="0"/>
          <w:numId w:val="6"/>
        </w:numPr>
        <w:tabs>
          <w:tab w:val="left" w:pos="940"/>
          <w:tab w:val="left" w:pos="941"/>
        </w:tabs>
        <w:spacing w:before="3" w:line="273" w:lineRule="auto"/>
        <w:ind w:right="295"/>
        <w:rPr>
          <w:sz w:val="24"/>
        </w:rPr>
      </w:pPr>
      <w:r>
        <w:rPr>
          <w:sz w:val="24"/>
        </w:rPr>
        <w:t>Provide all residents an opportunity to submit written comments during a period expiring not less than 30 days before the proposed effective dates of the allowances, scheduled surcharges, or</w:t>
      </w:r>
      <w:r>
        <w:rPr>
          <w:spacing w:val="-1"/>
          <w:sz w:val="24"/>
        </w:rPr>
        <w:t xml:space="preserve"> </w:t>
      </w:r>
      <w:r>
        <w:rPr>
          <w:sz w:val="24"/>
        </w:rPr>
        <w:t>revisions.</w:t>
      </w:r>
    </w:p>
    <w:p w14:paraId="29B3F6A6" w14:textId="77777777" w:rsidR="006C0C7C" w:rsidRDefault="005273D3">
      <w:pPr>
        <w:pStyle w:val="Heading1"/>
        <w:spacing w:before="202"/>
      </w:pPr>
      <w:r>
        <w:t>16-I.D. REASONABLE ACCOMMODATION [24 CFR 965.508]</w:t>
      </w:r>
    </w:p>
    <w:p w14:paraId="780A093B" w14:textId="77777777" w:rsidR="006C0C7C" w:rsidRDefault="006C0C7C">
      <w:pPr>
        <w:pStyle w:val="BodyText"/>
        <w:spacing w:before="1"/>
        <w:rPr>
          <w:b/>
          <w:sz w:val="21"/>
        </w:rPr>
      </w:pPr>
    </w:p>
    <w:p w14:paraId="34110EDA" w14:textId="77777777" w:rsidR="006C0C7C" w:rsidRDefault="005273D3">
      <w:pPr>
        <w:pStyle w:val="BodyText"/>
        <w:spacing w:line="276" w:lineRule="auto"/>
        <w:ind w:left="220" w:right="282"/>
      </w:pPr>
      <w:r>
        <w:t>On request from a family that includes a disabled or elderly person, the PHA must approve a utility allowance that is higher than the applicable amount for the dwelling unit if a higher utility allowance is needed as a reasonable accommodation to make the program accessible to and usable by the family [PH Occupancy GB, p. 172].</w:t>
      </w:r>
    </w:p>
    <w:p w14:paraId="0D7382C3" w14:textId="77777777" w:rsidR="006C0C7C" w:rsidRDefault="005273D3">
      <w:pPr>
        <w:pStyle w:val="BodyText"/>
        <w:spacing w:before="200" w:line="276" w:lineRule="auto"/>
        <w:ind w:left="220" w:right="435"/>
      </w:pPr>
      <w:r>
        <w:t>Likewise, residents with disabilities may not be charged for the use of certain resident supplied appliances if there is a verified need for special equipment because of the disability [PH Occupancy GB, p. 172].</w:t>
      </w:r>
    </w:p>
    <w:p w14:paraId="236C23D8" w14:textId="77777777" w:rsidR="006C0C7C" w:rsidRDefault="006C0C7C">
      <w:pPr>
        <w:pStyle w:val="BodyText"/>
        <w:rPr>
          <w:sz w:val="26"/>
        </w:rPr>
      </w:pPr>
    </w:p>
    <w:p w14:paraId="06A7E75F" w14:textId="77777777" w:rsidR="006C0C7C" w:rsidRDefault="006C0C7C">
      <w:pPr>
        <w:pStyle w:val="BodyText"/>
        <w:rPr>
          <w:sz w:val="26"/>
        </w:rPr>
      </w:pPr>
    </w:p>
    <w:p w14:paraId="7263C914" w14:textId="77777777" w:rsidR="006C0C7C" w:rsidRDefault="006C0C7C">
      <w:pPr>
        <w:pStyle w:val="BodyText"/>
        <w:rPr>
          <w:sz w:val="26"/>
        </w:rPr>
      </w:pPr>
    </w:p>
    <w:p w14:paraId="7925EC7D" w14:textId="77777777" w:rsidR="006C0C7C" w:rsidRDefault="006C0C7C">
      <w:pPr>
        <w:pStyle w:val="BodyText"/>
        <w:rPr>
          <w:sz w:val="26"/>
        </w:rPr>
      </w:pPr>
    </w:p>
    <w:p w14:paraId="3EEE6ABA" w14:textId="77777777" w:rsidR="006C0C7C" w:rsidRDefault="006C0C7C">
      <w:pPr>
        <w:pStyle w:val="BodyText"/>
        <w:rPr>
          <w:sz w:val="26"/>
        </w:rPr>
      </w:pPr>
    </w:p>
    <w:p w14:paraId="5B812A06" w14:textId="77777777" w:rsidR="006C0C7C" w:rsidRDefault="006C0C7C">
      <w:pPr>
        <w:pStyle w:val="BodyText"/>
        <w:rPr>
          <w:sz w:val="26"/>
        </w:rPr>
      </w:pPr>
    </w:p>
    <w:p w14:paraId="05361AD3" w14:textId="77777777" w:rsidR="006C0C7C" w:rsidRDefault="006C0C7C">
      <w:pPr>
        <w:pStyle w:val="BodyText"/>
        <w:rPr>
          <w:sz w:val="26"/>
        </w:rPr>
      </w:pPr>
    </w:p>
    <w:p w14:paraId="07AFC0AF" w14:textId="77777777" w:rsidR="006C0C7C" w:rsidRDefault="006C0C7C">
      <w:pPr>
        <w:pStyle w:val="BodyText"/>
        <w:rPr>
          <w:sz w:val="26"/>
        </w:rPr>
      </w:pPr>
    </w:p>
    <w:p w14:paraId="7C7FBD9B" w14:textId="77777777" w:rsidR="006C0C7C" w:rsidRDefault="006C0C7C">
      <w:pPr>
        <w:pStyle w:val="BodyText"/>
        <w:rPr>
          <w:sz w:val="26"/>
        </w:rPr>
      </w:pPr>
    </w:p>
    <w:p w14:paraId="4B99E0D0" w14:textId="77777777" w:rsidR="006C0C7C" w:rsidRDefault="006C0C7C">
      <w:pPr>
        <w:pStyle w:val="BodyText"/>
        <w:rPr>
          <w:sz w:val="26"/>
        </w:rPr>
      </w:pPr>
    </w:p>
    <w:p w14:paraId="69526EFD" w14:textId="77777777" w:rsidR="006C0C7C" w:rsidRDefault="006C0C7C">
      <w:pPr>
        <w:pStyle w:val="BodyText"/>
        <w:rPr>
          <w:sz w:val="26"/>
        </w:rPr>
      </w:pPr>
    </w:p>
    <w:p w14:paraId="1A78E18A" w14:textId="77777777" w:rsidR="006C0C7C" w:rsidRDefault="006C0C7C">
      <w:pPr>
        <w:pStyle w:val="BodyText"/>
        <w:rPr>
          <w:sz w:val="26"/>
        </w:rPr>
      </w:pPr>
    </w:p>
    <w:p w14:paraId="2A7127C0" w14:textId="77777777" w:rsidR="006C0C7C" w:rsidRDefault="006C0C7C">
      <w:pPr>
        <w:pStyle w:val="BodyText"/>
        <w:rPr>
          <w:sz w:val="26"/>
        </w:rPr>
      </w:pPr>
    </w:p>
    <w:p w14:paraId="520EC891" w14:textId="77777777" w:rsidR="006C0C7C" w:rsidRDefault="006C0C7C">
      <w:pPr>
        <w:pStyle w:val="BodyText"/>
        <w:rPr>
          <w:sz w:val="26"/>
        </w:rPr>
      </w:pPr>
    </w:p>
    <w:p w14:paraId="1C313806" w14:textId="77777777" w:rsidR="006C0C7C" w:rsidRDefault="006C0C7C">
      <w:pPr>
        <w:pStyle w:val="BodyText"/>
        <w:rPr>
          <w:sz w:val="26"/>
        </w:rPr>
      </w:pPr>
    </w:p>
    <w:p w14:paraId="273EED63" w14:textId="77777777" w:rsidR="006C0C7C" w:rsidRDefault="006C0C7C">
      <w:pPr>
        <w:pStyle w:val="BodyText"/>
        <w:rPr>
          <w:sz w:val="26"/>
        </w:rPr>
      </w:pPr>
    </w:p>
    <w:p w14:paraId="3425B313" w14:textId="77777777" w:rsidR="006C0C7C" w:rsidRDefault="006C0C7C">
      <w:pPr>
        <w:pStyle w:val="BodyText"/>
        <w:rPr>
          <w:sz w:val="26"/>
        </w:rPr>
      </w:pPr>
    </w:p>
    <w:p w14:paraId="2553BE04" w14:textId="77777777" w:rsidR="006C0C7C" w:rsidRDefault="006C0C7C">
      <w:pPr>
        <w:pStyle w:val="BodyText"/>
        <w:rPr>
          <w:sz w:val="26"/>
        </w:rPr>
      </w:pPr>
    </w:p>
    <w:p w14:paraId="18AD5854" w14:textId="77777777" w:rsidR="006C0C7C" w:rsidRDefault="006C0C7C">
      <w:pPr>
        <w:pStyle w:val="BodyText"/>
        <w:rPr>
          <w:sz w:val="26"/>
        </w:rPr>
      </w:pPr>
    </w:p>
    <w:p w14:paraId="4D223CD2" w14:textId="77777777" w:rsidR="006C0C7C" w:rsidRDefault="006C0C7C">
      <w:pPr>
        <w:pStyle w:val="BodyText"/>
        <w:rPr>
          <w:sz w:val="26"/>
        </w:rPr>
      </w:pPr>
    </w:p>
    <w:p w14:paraId="358427DF" w14:textId="77777777" w:rsidR="006C0C7C" w:rsidRDefault="006C0C7C">
      <w:pPr>
        <w:pStyle w:val="BodyText"/>
        <w:rPr>
          <w:sz w:val="26"/>
        </w:rPr>
      </w:pPr>
    </w:p>
    <w:p w14:paraId="29FA58D9" w14:textId="77777777" w:rsidR="006C0C7C" w:rsidRDefault="006C0C7C">
      <w:pPr>
        <w:pStyle w:val="BodyText"/>
        <w:rPr>
          <w:sz w:val="26"/>
        </w:rPr>
      </w:pPr>
    </w:p>
    <w:p w14:paraId="042F5793" w14:textId="77777777" w:rsidR="00DE62FF" w:rsidRDefault="00DE62FF">
      <w:pPr>
        <w:pStyle w:val="BodyText"/>
        <w:rPr>
          <w:sz w:val="26"/>
        </w:rPr>
      </w:pPr>
    </w:p>
    <w:p w14:paraId="273F549B" w14:textId="77777777" w:rsidR="00DE62FF" w:rsidRDefault="00DE62FF">
      <w:pPr>
        <w:pStyle w:val="BodyText"/>
        <w:rPr>
          <w:sz w:val="26"/>
        </w:rPr>
      </w:pPr>
    </w:p>
    <w:p w14:paraId="439D8C9C" w14:textId="77777777" w:rsidR="00DE62FF" w:rsidRDefault="00DE62FF">
      <w:pPr>
        <w:pStyle w:val="BodyText"/>
        <w:rPr>
          <w:sz w:val="26"/>
        </w:rPr>
      </w:pPr>
    </w:p>
    <w:p w14:paraId="0E280F65" w14:textId="77777777" w:rsidR="006C0C7C" w:rsidRDefault="006C0C7C">
      <w:pPr>
        <w:pStyle w:val="BodyText"/>
        <w:spacing w:before="6"/>
        <w:rPr>
          <w:sz w:val="30"/>
        </w:rPr>
      </w:pPr>
    </w:p>
    <w:p w14:paraId="31E35D8C" w14:textId="77777777" w:rsidR="00DE62FF" w:rsidRDefault="005273D3" w:rsidP="00DE62FF">
      <w:pPr>
        <w:pStyle w:val="Heading1"/>
        <w:spacing w:line="276" w:lineRule="auto"/>
        <w:ind w:left="4500" w:right="547" w:hanging="3935"/>
      </w:pPr>
      <w:r>
        <w:lastRenderedPageBreak/>
        <w:t>PART II: ESTABLISIHNG FLATE RENTS AND PUBLIC HOUSING MAXIMUM RENTS</w:t>
      </w:r>
    </w:p>
    <w:p w14:paraId="7A88A51D" w14:textId="77777777" w:rsidR="006C0C7C" w:rsidRDefault="005273D3" w:rsidP="00DE62FF">
      <w:pPr>
        <w:pStyle w:val="Heading1"/>
        <w:spacing w:line="276" w:lineRule="auto"/>
        <w:ind w:right="547"/>
        <w:rPr>
          <w:b w:val="0"/>
        </w:rPr>
      </w:pPr>
      <w:r>
        <w:t>16-II.A. OVERVIEW</w:t>
      </w:r>
    </w:p>
    <w:p w14:paraId="673340E5" w14:textId="77777777" w:rsidR="006C0C7C" w:rsidRDefault="006C0C7C">
      <w:pPr>
        <w:pStyle w:val="BodyText"/>
        <w:spacing w:before="1"/>
        <w:rPr>
          <w:b/>
          <w:sz w:val="21"/>
        </w:rPr>
      </w:pPr>
    </w:p>
    <w:p w14:paraId="344D78AB" w14:textId="77777777" w:rsidR="006C0C7C" w:rsidRDefault="005273D3">
      <w:pPr>
        <w:pStyle w:val="BodyText"/>
        <w:spacing w:line="276" w:lineRule="auto"/>
        <w:ind w:left="220" w:right="729"/>
      </w:pPr>
      <w:r>
        <w:t>Flat rents are designed to encourage self-sufficiency and to avoid creating disincentives for continued residency by families who are attempting to become economically self-sufficient.</w:t>
      </w:r>
    </w:p>
    <w:p w14:paraId="1B1B0C0B" w14:textId="77777777" w:rsidR="006C0C7C" w:rsidRDefault="005273D3">
      <w:pPr>
        <w:pStyle w:val="BodyText"/>
        <w:spacing w:before="198" w:line="276" w:lineRule="auto"/>
        <w:ind w:left="220" w:right="327"/>
      </w:pPr>
      <w:r>
        <w:t>Public housing maximum rents are needed to prorate assistance for a mixed family. A mixed family is one whose members include those with citizenship or eligible immigration status, and those without citizenship or eligible immigration status.</w:t>
      </w:r>
    </w:p>
    <w:p w14:paraId="77A9C641" w14:textId="77777777" w:rsidR="006C0C7C" w:rsidRDefault="005273D3">
      <w:pPr>
        <w:pStyle w:val="BodyText"/>
        <w:spacing w:before="200" w:line="278" w:lineRule="auto"/>
        <w:ind w:left="220" w:right="254"/>
      </w:pPr>
      <w:r>
        <w:t>This part discusses how the PHA establishes and updates flat rents and public housing maximum rents.</w:t>
      </w:r>
    </w:p>
    <w:p w14:paraId="472797A9" w14:textId="5D22C095" w:rsidR="006C0C7C" w:rsidRDefault="005273D3">
      <w:pPr>
        <w:pStyle w:val="Heading1"/>
        <w:spacing w:before="195"/>
      </w:pPr>
      <w:r>
        <w:t>16-II.B. FLAT RENTS [24 CFR 960.253(b)</w:t>
      </w:r>
      <w:r w:rsidR="00A72C1E">
        <w:t xml:space="preserve"> and Notice PIH </w:t>
      </w:r>
      <w:r w:rsidR="00CE4232">
        <w:t>2017-23</w:t>
      </w:r>
      <w:r>
        <w:t>]</w:t>
      </w:r>
    </w:p>
    <w:p w14:paraId="54F20589" w14:textId="77777777" w:rsidR="006C0C7C" w:rsidRDefault="006C0C7C">
      <w:pPr>
        <w:pStyle w:val="BodyText"/>
        <w:spacing w:before="1"/>
        <w:rPr>
          <w:b/>
          <w:sz w:val="21"/>
        </w:rPr>
      </w:pPr>
    </w:p>
    <w:p w14:paraId="63CB3C1F" w14:textId="77777777" w:rsidR="006C0C7C" w:rsidRDefault="005273D3">
      <w:pPr>
        <w:spacing w:before="1"/>
        <w:ind w:left="220"/>
        <w:rPr>
          <w:b/>
          <w:sz w:val="24"/>
        </w:rPr>
      </w:pPr>
      <w:r>
        <w:rPr>
          <w:b/>
          <w:sz w:val="24"/>
        </w:rPr>
        <w:t>Establish Flat Rents</w:t>
      </w:r>
    </w:p>
    <w:p w14:paraId="06CE6BEC" w14:textId="77777777" w:rsidR="006C0C7C" w:rsidRDefault="002E6B54">
      <w:pPr>
        <w:pStyle w:val="BodyText"/>
        <w:spacing w:before="200" w:line="278" w:lineRule="auto"/>
        <w:ind w:left="220" w:right="395"/>
      </w:pPr>
      <w:r>
        <w:t xml:space="preserve">The 2015 Appropriations Act requires that flat rents must be set at no less than 80 percent of the applicable fair market rent (FMR). Alternatively, the </w:t>
      </w:r>
      <w:r w:rsidR="00AD728A">
        <w:t>P</w:t>
      </w:r>
      <w:r>
        <w:t>HA may set flat rents</w:t>
      </w:r>
      <w:r w:rsidR="00AD728A">
        <w:t xml:space="preserve"> at no less than 80 percent of the applicable small area FMR (SAFMR) for metropolitan areas, or 80 percent of the applicable unadjusted rents for non-metropolitan areas.</w:t>
      </w:r>
    </w:p>
    <w:p w14:paraId="380EFD79" w14:textId="77777777" w:rsidR="00E77CB0" w:rsidRDefault="00E77CB0">
      <w:pPr>
        <w:pStyle w:val="BodyText"/>
        <w:spacing w:before="200" w:line="278" w:lineRule="auto"/>
        <w:ind w:left="220" w:right="395"/>
      </w:pPr>
      <w:r>
        <w:t>For areas where HUD has not determined a SAFMR or an unadjusted rent, PHAs must set flat rents at no less than 80 percent of the FMR or apply for an exception flat rent.</w:t>
      </w:r>
    </w:p>
    <w:p w14:paraId="321EE266" w14:textId="77777777" w:rsidR="00E77CB0" w:rsidRDefault="00E77CB0">
      <w:pPr>
        <w:pStyle w:val="BodyText"/>
        <w:spacing w:before="200" w:line="278" w:lineRule="auto"/>
        <w:ind w:left="220" w:right="395"/>
      </w:pPr>
      <w:r>
        <w:t>The 2015 Appropriations Act permits PHAs to request an exception flat rent that is lower than either 80 percent of the FMR or SAFMR/unadjusted rent if the PHA can demonstrate that these FMRs do not reflect the market value of a particular property or unit.</w:t>
      </w:r>
    </w:p>
    <w:p w14:paraId="65E03BEB" w14:textId="77777777" w:rsidR="00E77CB0" w:rsidRDefault="00E77CB0">
      <w:pPr>
        <w:pStyle w:val="BodyText"/>
        <w:spacing w:before="200" w:line="278" w:lineRule="auto"/>
        <w:ind w:left="220" w:right="395"/>
      </w:pPr>
      <w:r>
        <w:t>In order to demonstrate the need for an exception flat rent, PHAs are required to submit a market analysis methodology that demonstrates the value of the unit. The PHA must use HUD’s rent reasonableness methodology to determine flat rents. In determining flat rents, PHAs must consider the following:</w:t>
      </w:r>
    </w:p>
    <w:p w14:paraId="6667908B" w14:textId="77777777" w:rsidR="006C0C7C" w:rsidRDefault="005273D3">
      <w:pPr>
        <w:pStyle w:val="ListParagraph"/>
        <w:numPr>
          <w:ilvl w:val="0"/>
          <w:numId w:val="6"/>
        </w:numPr>
        <w:tabs>
          <w:tab w:val="left" w:pos="940"/>
          <w:tab w:val="left" w:pos="941"/>
        </w:tabs>
        <w:spacing w:before="196"/>
        <w:rPr>
          <w:sz w:val="24"/>
        </w:rPr>
      </w:pPr>
      <w:r>
        <w:rPr>
          <w:sz w:val="24"/>
        </w:rPr>
        <w:t>Location</w:t>
      </w:r>
    </w:p>
    <w:p w14:paraId="2E210D19" w14:textId="77777777" w:rsidR="006C0C7C" w:rsidRDefault="005273D3">
      <w:pPr>
        <w:pStyle w:val="ListParagraph"/>
        <w:numPr>
          <w:ilvl w:val="0"/>
          <w:numId w:val="6"/>
        </w:numPr>
        <w:tabs>
          <w:tab w:val="left" w:pos="940"/>
          <w:tab w:val="left" w:pos="941"/>
        </w:tabs>
        <w:spacing w:before="42"/>
        <w:rPr>
          <w:sz w:val="24"/>
        </w:rPr>
      </w:pPr>
      <w:r>
        <w:rPr>
          <w:sz w:val="24"/>
        </w:rPr>
        <w:t>Quality</w:t>
      </w:r>
    </w:p>
    <w:p w14:paraId="45004170" w14:textId="77777777" w:rsidR="006C0C7C" w:rsidRDefault="005273D3">
      <w:pPr>
        <w:pStyle w:val="ListParagraph"/>
        <w:numPr>
          <w:ilvl w:val="0"/>
          <w:numId w:val="6"/>
        </w:numPr>
        <w:tabs>
          <w:tab w:val="left" w:pos="940"/>
          <w:tab w:val="left" w:pos="941"/>
        </w:tabs>
        <w:spacing w:before="40"/>
        <w:rPr>
          <w:sz w:val="24"/>
        </w:rPr>
      </w:pPr>
      <w:r>
        <w:rPr>
          <w:sz w:val="24"/>
        </w:rPr>
        <w:t>Unit Size</w:t>
      </w:r>
    </w:p>
    <w:p w14:paraId="35DB38DC" w14:textId="77777777" w:rsidR="006C0C7C" w:rsidRDefault="005273D3">
      <w:pPr>
        <w:pStyle w:val="ListParagraph"/>
        <w:numPr>
          <w:ilvl w:val="0"/>
          <w:numId w:val="6"/>
        </w:numPr>
        <w:tabs>
          <w:tab w:val="left" w:pos="940"/>
          <w:tab w:val="left" w:pos="941"/>
        </w:tabs>
        <w:spacing w:before="40"/>
        <w:rPr>
          <w:sz w:val="24"/>
        </w:rPr>
      </w:pPr>
      <w:r>
        <w:rPr>
          <w:sz w:val="24"/>
        </w:rPr>
        <w:t>Unit</w:t>
      </w:r>
      <w:r>
        <w:rPr>
          <w:spacing w:val="-1"/>
          <w:sz w:val="24"/>
        </w:rPr>
        <w:t xml:space="preserve"> </w:t>
      </w:r>
      <w:r>
        <w:rPr>
          <w:sz w:val="24"/>
        </w:rPr>
        <w:t>Type</w:t>
      </w:r>
    </w:p>
    <w:p w14:paraId="36211B3A" w14:textId="5F2795D2" w:rsidR="006C0C7C" w:rsidRDefault="005273D3">
      <w:pPr>
        <w:pStyle w:val="ListParagraph"/>
        <w:numPr>
          <w:ilvl w:val="0"/>
          <w:numId w:val="6"/>
        </w:numPr>
        <w:tabs>
          <w:tab w:val="left" w:pos="940"/>
          <w:tab w:val="left" w:pos="941"/>
        </w:tabs>
        <w:spacing w:before="42"/>
        <w:rPr>
          <w:sz w:val="24"/>
        </w:rPr>
      </w:pPr>
      <w:r>
        <w:rPr>
          <w:sz w:val="24"/>
        </w:rPr>
        <w:t>Age of</w:t>
      </w:r>
      <w:r>
        <w:rPr>
          <w:spacing w:val="-2"/>
          <w:sz w:val="24"/>
        </w:rPr>
        <w:t xml:space="preserve"> </w:t>
      </w:r>
      <w:r w:rsidR="00CE4232">
        <w:rPr>
          <w:sz w:val="24"/>
        </w:rPr>
        <w:t>Unit</w:t>
      </w:r>
    </w:p>
    <w:p w14:paraId="2F1E489A" w14:textId="77777777" w:rsidR="006C0C7C" w:rsidRDefault="005273D3">
      <w:pPr>
        <w:pStyle w:val="ListParagraph"/>
        <w:numPr>
          <w:ilvl w:val="0"/>
          <w:numId w:val="6"/>
        </w:numPr>
        <w:tabs>
          <w:tab w:val="left" w:pos="940"/>
          <w:tab w:val="left" w:pos="941"/>
        </w:tabs>
        <w:spacing w:before="40"/>
        <w:rPr>
          <w:sz w:val="24"/>
        </w:rPr>
      </w:pPr>
      <w:r>
        <w:rPr>
          <w:sz w:val="24"/>
        </w:rPr>
        <w:t>Amenities at the property and in the immediate</w:t>
      </w:r>
      <w:r>
        <w:rPr>
          <w:spacing w:val="-6"/>
          <w:sz w:val="24"/>
        </w:rPr>
        <w:t xml:space="preserve"> </w:t>
      </w:r>
      <w:r>
        <w:rPr>
          <w:sz w:val="24"/>
        </w:rPr>
        <w:t>neighborhood</w:t>
      </w:r>
    </w:p>
    <w:p w14:paraId="37D40F31" w14:textId="77777777" w:rsidR="006C0C7C" w:rsidRDefault="005273D3">
      <w:pPr>
        <w:pStyle w:val="ListParagraph"/>
        <w:numPr>
          <w:ilvl w:val="0"/>
          <w:numId w:val="6"/>
        </w:numPr>
        <w:tabs>
          <w:tab w:val="left" w:pos="940"/>
          <w:tab w:val="left" w:pos="941"/>
        </w:tabs>
        <w:spacing w:before="41"/>
        <w:rPr>
          <w:sz w:val="24"/>
        </w:rPr>
      </w:pPr>
      <w:r>
        <w:rPr>
          <w:sz w:val="24"/>
        </w:rPr>
        <w:t>Housing services</w:t>
      </w:r>
      <w:r>
        <w:rPr>
          <w:spacing w:val="-3"/>
          <w:sz w:val="24"/>
        </w:rPr>
        <w:t xml:space="preserve"> </w:t>
      </w:r>
      <w:r>
        <w:rPr>
          <w:sz w:val="24"/>
        </w:rPr>
        <w:t>provided</w:t>
      </w:r>
    </w:p>
    <w:p w14:paraId="5D579D12" w14:textId="77777777" w:rsidR="006C0C7C" w:rsidRDefault="005273D3">
      <w:pPr>
        <w:pStyle w:val="ListParagraph"/>
        <w:numPr>
          <w:ilvl w:val="0"/>
          <w:numId w:val="6"/>
        </w:numPr>
        <w:tabs>
          <w:tab w:val="left" w:pos="940"/>
          <w:tab w:val="left" w:pos="941"/>
        </w:tabs>
        <w:spacing w:before="40"/>
        <w:rPr>
          <w:sz w:val="24"/>
        </w:rPr>
      </w:pPr>
      <w:r>
        <w:rPr>
          <w:sz w:val="24"/>
        </w:rPr>
        <w:t>Maintenance provided by the</w:t>
      </w:r>
      <w:r>
        <w:rPr>
          <w:spacing w:val="-4"/>
          <w:sz w:val="24"/>
        </w:rPr>
        <w:t xml:space="preserve"> </w:t>
      </w:r>
      <w:r>
        <w:rPr>
          <w:sz w:val="24"/>
        </w:rPr>
        <w:t>PHA</w:t>
      </w:r>
    </w:p>
    <w:p w14:paraId="0531A651" w14:textId="5E50D5B0" w:rsidR="006C0C7C" w:rsidRDefault="005273D3">
      <w:pPr>
        <w:pStyle w:val="ListParagraph"/>
        <w:numPr>
          <w:ilvl w:val="0"/>
          <w:numId w:val="6"/>
        </w:numPr>
        <w:tabs>
          <w:tab w:val="left" w:pos="940"/>
          <w:tab w:val="left" w:pos="941"/>
        </w:tabs>
        <w:spacing w:before="42"/>
        <w:rPr>
          <w:sz w:val="24"/>
        </w:rPr>
      </w:pPr>
      <w:r>
        <w:rPr>
          <w:sz w:val="24"/>
        </w:rPr>
        <w:t>Utilities provided by the</w:t>
      </w:r>
      <w:r>
        <w:rPr>
          <w:spacing w:val="-5"/>
          <w:sz w:val="24"/>
        </w:rPr>
        <w:t xml:space="preserve"> </w:t>
      </w:r>
      <w:r>
        <w:rPr>
          <w:sz w:val="24"/>
        </w:rPr>
        <w:t>PHA</w:t>
      </w:r>
      <w:r w:rsidR="00CE4232">
        <w:rPr>
          <w:sz w:val="24"/>
        </w:rPr>
        <w:t xml:space="preserve"> and/or landlord for comparable units in the market study</w:t>
      </w:r>
    </w:p>
    <w:p w14:paraId="5CC61EAE" w14:textId="77777777" w:rsidR="00E77CB0" w:rsidRDefault="00E77CB0" w:rsidP="00E77CB0">
      <w:pPr>
        <w:tabs>
          <w:tab w:val="left" w:pos="940"/>
          <w:tab w:val="left" w:pos="941"/>
        </w:tabs>
        <w:spacing w:before="42"/>
        <w:rPr>
          <w:sz w:val="24"/>
        </w:rPr>
      </w:pPr>
    </w:p>
    <w:p w14:paraId="6C79D2E3" w14:textId="77777777" w:rsidR="00CE4232" w:rsidRDefault="00CE4232" w:rsidP="00E77CB0">
      <w:pPr>
        <w:tabs>
          <w:tab w:val="left" w:pos="940"/>
          <w:tab w:val="left" w:pos="941"/>
        </w:tabs>
        <w:spacing w:before="42"/>
        <w:rPr>
          <w:sz w:val="24"/>
        </w:rPr>
      </w:pPr>
      <w:r>
        <w:rPr>
          <w:sz w:val="24"/>
        </w:rPr>
        <w:lastRenderedPageBreak/>
        <w:t>The PHA must provide a corresponding key explaining the calculations used for determining the valuation for each factor. HUD published a Flat Rent Market Analysis tool on August 22, 2018, which includes a rent adjustment guide, a market rent comparison guide, and a rent adjustment worksheet to aid PHAs in requesting flat rent exceptions.</w:t>
      </w:r>
    </w:p>
    <w:p w14:paraId="3A754211" w14:textId="77777777" w:rsidR="00CE4232" w:rsidRDefault="00CE4232" w:rsidP="00E77CB0">
      <w:pPr>
        <w:tabs>
          <w:tab w:val="left" w:pos="940"/>
          <w:tab w:val="left" w:pos="941"/>
        </w:tabs>
        <w:spacing w:before="42"/>
        <w:rPr>
          <w:sz w:val="24"/>
        </w:rPr>
      </w:pPr>
    </w:p>
    <w:p w14:paraId="3BEFC5CA" w14:textId="7883A222" w:rsidR="00CE4232" w:rsidRDefault="00E77CB0" w:rsidP="00E77CB0">
      <w:pPr>
        <w:tabs>
          <w:tab w:val="left" w:pos="940"/>
          <w:tab w:val="left" w:pos="941"/>
        </w:tabs>
        <w:spacing w:before="42"/>
        <w:rPr>
          <w:sz w:val="24"/>
        </w:rPr>
      </w:pPr>
      <w:r>
        <w:rPr>
          <w:sz w:val="24"/>
        </w:rPr>
        <w:t xml:space="preserve">PHAs must receive written HUD approval before implementing exception flat rents. </w:t>
      </w:r>
      <w:r w:rsidR="00CE4232">
        <w:rPr>
          <w:sz w:val="24"/>
        </w:rPr>
        <w:t>PHAs with a previously approved flat rent exception request may submit a written request to extend the approved flat rents for up to two additional years, provided local market conditions remain unchanged. Detailed information on how to request exception flat rents can be found in Notice PIH 2017-23.</w:t>
      </w:r>
    </w:p>
    <w:p w14:paraId="412ABC52" w14:textId="77777777" w:rsidR="00E77CB0" w:rsidRDefault="00E77CB0" w:rsidP="00E77CB0">
      <w:pPr>
        <w:tabs>
          <w:tab w:val="left" w:pos="940"/>
          <w:tab w:val="left" w:pos="941"/>
        </w:tabs>
        <w:spacing w:before="42"/>
        <w:rPr>
          <w:sz w:val="24"/>
        </w:rPr>
      </w:pPr>
    </w:p>
    <w:p w14:paraId="1F876B49" w14:textId="77777777" w:rsidR="00E77CB0" w:rsidRPr="00E77CB0" w:rsidRDefault="00E77CB0" w:rsidP="00E77CB0">
      <w:pPr>
        <w:tabs>
          <w:tab w:val="left" w:pos="940"/>
          <w:tab w:val="left" w:pos="941"/>
        </w:tabs>
        <w:spacing w:before="42"/>
        <w:rPr>
          <w:sz w:val="24"/>
        </w:rPr>
      </w:pPr>
      <w:r>
        <w:rPr>
          <w:sz w:val="24"/>
        </w:rPr>
        <w:t>PHAs are now required to apply a utility allowance to flat rents. Flat rents set at 80 percent of the FMR must be reduced by the amount of the unit’s utility allowance, if any.</w:t>
      </w:r>
    </w:p>
    <w:p w14:paraId="292B8CAA" w14:textId="77777777" w:rsidR="006C0C7C" w:rsidRDefault="005273D3" w:rsidP="00E77CB0">
      <w:pPr>
        <w:pStyle w:val="Heading1"/>
        <w:spacing w:before="237"/>
        <w:ind w:left="0"/>
      </w:pPr>
      <w:r>
        <w:t>Review of Flat Rents</w:t>
      </w:r>
    </w:p>
    <w:p w14:paraId="06C011A1" w14:textId="77777777" w:rsidR="006C0C7C" w:rsidRDefault="006C0C7C">
      <w:pPr>
        <w:pStyle w:val="BodyText"/>
        <w:spacing w:before="1"/>
        <w:rPr>
          <w:b/>
          <w:sz w:val="21"/>
        </w:rPr>
      </w:pPr>
    </w:p>
    <w:p w14:paraId="117105FD" w14:textId="783C02EA" w:rsidR="006C0C7C" w:rsidRDefault="00E77CB0">
      <w:pPr>
        <w:pStyle w:val="BodyText"/>
        <w:spacing w:before="10"/>
      </w:pPr>
      <w:r>
        <w:t>No later than 90 days after</w:t>
      </w:r>
      <w:r w:rsidR="00B1188E">
        <w:t xml:space="preserve"> the effective date of</w:t>
      </w:r>
      <w:r>
        <w:t xml:space="preserve"> </w:t>
      </w:r>
      <w:r w:rsidR="00B1188E">
        <w:t xml:space="preserve">the </w:t>
      </w:r>
      <w:r>
        <w:t xml:space="preserve">new FMRs/SAFMRs/unadjusted rent, PHAs must </w:t>
      </w:r>
      <w:r w:rsidR="00B1188E">
        <w:t>implement new</w:t>
      </w:r>
      <w:r>
        <w:t xml:space="preserve"> flat rents as necessary based on changes to the FMR/SAFMR/unadjusted rent</w:t>
      </w:r>
      <w:r w:rsidR="00B1188E">
        <w:t xml:space="preserve"> or request an exception</w:t>
      </w:r>
      <w:r>
        <w:t xml:space="preserve">. </w:t>
      </w:r>
    </w:p>
    <w:p w14:paraId="37FF6CBD" w14:textId="77777777" w:rsidR="00EB116A" w:rsidRDefault="00EB116A">
      <w:pPr>
        <w:pStyle w:val="BodyText"/>
        <w:spacing w:before="10"/>
        <w:rPr>
          <w:sz w:val="20"/>
        </w:rPr>
      </w:pPr>
    </w:p>
    <w:p w14:paraId="5CFB607B" w14:textId="77777777" w:rsidR="00EB116A" w:rsidRPr="00EB116A" w:rsidRDefault="00EB116A">
      <w:pPr>
        <w:pStyle w:val="BodyText"/>
        <w:spacing w:before="10"/>
      </w:pPr>
      <w:r w:rsidRPr="00EB116A">
        <w:t>If the FMR falls from year to year, the PHA may, but is not required to lower the flat rent to 80 percent of the current FMR/SAFMR/unadjusted rent</w:t>
      </w:r>
    </w:p>
    <w:p w14:paraId="32B13603" w14:textId="77777777" w:rsidR="00EB116A" w:rsidRDefault="00EB116A">
      <w:pPr>
        <w:pStyle w:val="BodyText"/>
        <w:spacing w:before="10"/>
        <w:rPr>
          <w:sz w:val="20"/>
        </w:rPr>
      </w:pPr>
    </w:p>
    <w:p w14:paraId="5371D712" w14:textId="77777777" w:rsidR="006C0C7C" w:rsidRDefault="005273D3">
      <w:pPr>
        <w:pStyle w:val="Heading1"/>
        <w:ind w:left="940"/>
      </w:pPr>
      <w:r>
        <w:rPr>
          <w:u w:val="thick"/>
        </w:rPr>
        <w:t>MHA Policy</w:t>
      </w:r>
    </w:p>
    <w:p w14:paraId="5154C067" w14:textId="77777777" w:rsidR="006C0C7C" w:rsidRDefault="006C0C7C">
      <w:pPr>
        <w:pStyle w:val="BodyText"/>
        <w:spacing w:before="1"/>
        <w:rPr>
          <w:b/>
          <w:sz w:val="21"/>
        </w:rPr>
      </w:pPr>
    </w:p>
    <w:p w14:paraId="3B661AB7" w14:textId="0F75F99A" w:rsidR="006C0C7C" w:rsidRDefault="00E97D0A">
      <w:pPr>
        <w:pStyle w:val="BodyText"/>
        <w:spacing w:line="276" w:lineRule="auto"/>
        <w:ind w:left="940"/>
      </w:pPr>
      <w:r>
        <w:t xml:space="preserve">MHA flat rents will mirror those of HUD’s newly published FMRs no later than 90 days after the effective date of said rates. </w:t>
      </w:r>
    </w:p>
    <w:p w14:paraId="571BBC84" w14:textId="77777777" w:rsidR="006C0C7C" w:rsidRDefault="005273D3" w:rsidP="00E77CB0">
      <w:pPr>
        <w:pStyle w:val="Heading1"/>
        <w:spacing w:before="201"/>
        <w:ind w:left="0"/>
      </w:pPr>
      <w:r>
        <w:t>Posting of Flat Rents</w:t>
      </w:r>
    </w:p>
    <w:p w14:paraId="5E1BEC38" w14:textId="77777777" w:rsidR="006C0C7C" w:rsidRDefault="006C0C7C">
      <w:pPr>
        <w:pStyle w:val="BodyText"/>
        <w:spacing w:before="10"/>
        <w:rPr>
          <w:b/>
          <w:sz w:val="20"/>
        </w:rPr>
      </w:pPr>
    </w:p>
    <w:p w14:paraId="7041F922" w14:textId="77777777" w:rsidR="006C0C7C" w:rsidRDefault="005273D3">
      <w:pPr>
        <w:ind w:left="940"/>
        <w:rPr>
          <w:b/>
          <w:sz w:val="24"/>
          <w:u w:val="thick"/>
        </w:rPr>
      </w:pPr>
      <w:r>
        <w:rPr>
          <w:b/>
          <w:sz w:val="24"/>
          <w:u w:val="thick"/>
        </w:rPr>
        <w:t>MHA Policy</w:t>
      </w:r>
    </w:p>
    <w:p w14:paraId="2DFF708F" w14:textId="77777777" w:rsidR="00EB116A" w:rsidRDefault="00EB116A">
      <w:pPr>
        <w:ind w:left="940"/>
        <w:rPr>
          <w:b/>
          <w:sz w:val="24"/>
        </w:rPr>
      </w:pPr>
    </w:p>
    <w:p w14:paraId="3B8DE44F" w14:textId="77777777" w:rsidR="006C0C7C" w:rsidRDefault="005273D3">
      <w:pPr>
        <w:pStyle w:val="BodyText"/>
        <w:spacing w:before="79" w:line="276" w:lineRule="auto"/>
        <w:ind w:left="940" w:right="327"/>
      </w:pPr>
      <w:r>
        <w:t>The PHA will publicly post the schedule of flat rents in a conspicuous manner in the applicable PHA administrative or property office.</w:t>
      </w:r>
    </w:p>
    <w:p w14:paraId="4D7C73AE" w14:textId="77777777" w:rsidR="006C0C7C" w:rsidRDefault="005273D3" w:rsidP="00FA50F2">
      <w:pPr>
        <w:pStyle w:val="Heading1"/>
        <w:spacing w:before="201"/>
        <w:ind w:left="0"/>
      </w:pPr>
      <w:r>
        <w:t>Documentation of Flat Rents [24 CFR 960.253(b)(5)]</w:t>
      </w:r>
    </w:p>
    <w:p w14:paraId="3A6EB0E7" w14:textId="77777777" w:rsidR="006C0C7C" w:rsidRDefault="006C0C7C">
      <w:pPr>
        <w:pStyle w:val="BodyText"/>
        <w:spacing w:before="10"/>
        <w:rPr>
          <w:b/>
          <w:sz w:val="20"/>
        </w:rPr>
      </w:pPr>
    </w:p>
    <w:p w14:paraId="43856DD4" w14:textId="77777777" w:rsidR="006C0C7C" w:rsidRDefault="005273D3" w:rsidP="00FA50F2">
      <w:pPr>
        <w:pStyle w:val="BodyText"/>
        <w:spacing w:line="278" w:lineRule="auto"/>
        <w:ind w:right="335"/>
      </w:pPr>
      <w:r>
        <w:t>The PHA must maintain records that document the method used to determine flat rents, and that show how flat rents were determined by the PHA in accordance with this method.</w:t>
      </w:r>
    </w:p>
    <w:p w14:paraId="70D324AC" w14:textId="77777777" w:rsidR="006C0C7C" w:rsidRDefault="006C0C7C">
      <w:pPr>
        <w:pStyle w:val="BodyText"/>
        <w:rPr>
          <w:sz w:val="20"/>
        </w:rPr>
      </w:pPr>
    </w:p>
    <w:p w14:paraId="6F32BF56" w14:textId="77777777" w:rsidR="006C0C7C" w:rsidRDefault="006C0C7C">
      <w:pPr>
        <w:pStyle w:val="BodyText"/>
        <w:rPr>
          <w:sz w:val="20"/>
        </w:rPr>
      </w:pPr>
    </w:p>
    <w:p w14:paraId="08E332F8" w14:textId="77777777" w:rsidR="006C0C7C" w:rsidRDefault="006C0C7C">
      <w:pPr>
        <w:pStyle w:val="BodyText"/>
        <w:rPr>
          <w:sz w:val="20"/>
        </w:rPr>
      </w:pPr>
    </w:p>
    <w:p w14:paraId="0F26F6CA" w14:textId="77777777" w:rsidR="006C0C7C" w:rsidRDefault="006C0C7C">
      <w:pPr>
        <w:pStyle w:val="BodyText"/>
        <w:rPr>
          <w:sz w:val="20"/>
        </w:rPr>
      </w:pPr>
    </w:p>
    <w:p w14:paraId="64D65AAE" w14:textId="77777777" w:rsidR="006C0C7C" w:rsidRDefault="006C0C7C">
      <w:pPr>
        <w:pStyle w:val="BodyText"/>
        <w:rPr>
          <w:sz w:val="20"/>
        </w:rPr>
      </w:pPr>
    </w:p>
    <w:p w14:paraId="0E61A100" w14:textId="77777777" w:rsidR="006C0C7C" w:rsidRDefault="006C0C7C">
      <w:pPr>
        <w:pStyle w:val="BodyText"/>
        <w:rPr>
          <w:sz w:val="20"/>
        </w:rPr>
      </w:pPr>
    </w:p>
    <w:p w14:paraId="526A4408" w14:textId="77777777" w:rsidR="006C0C7C" w:rsidRDefault="006C0C7C">
      <w:pPr>
        <w:pStyle w:val="BodyText"/>
        <w:rPr>
          <w:sz w:val="20"/>
        </w:rPr>
      </w:pPr>
    </w:p>
    <w:p w14:paraId="719D029A" w14:textId="77777777" w:rsidR="006C0C7C" w:rsidRDefault="006C0C7C">
      <w:pPr>
        <w:pStyle w:val="BodyText"/>
        <w:rPr>
          <w:sz w:val="20"/>
        </w:rPr>
      </w:pPr>
    </w:p>
    <w:p w14:paraId="2F79BC8A" w14:textId="77777777" w:rsidR="006C0C7C" w:rsidRDefault="006C0C7C">
      <w:pPr>
        <w:pStyle w:val="BodyText"/>
        <w:rPr>
          <w:sz w:val="20"/>
        </w:rPr>
      </w:pPr>
    </w:p>
    <w:p w14:paraId="6C42D7DE" w14:textId="77777777" w:rsidR="006C0C7C" w:rsidRDefault="006C0C7C">
      <w:pPr>
        <w:pStyle w:val="BodyText"/>
        <w:rPr>
          <w:sz w:val="20"/>
        </w:rPr>
      </w:pPr>
    </w:p>
    <w:p w14:paraId="5B604267" w14:textId="77777777" w:rsidR="006C0C7C" w:rsidRDefault="006C0C7C">
      <w:pPr>
        <w:pStyle w:val="BodyText"/>
        <w:rPr>
          <w:sz w:val="20"/>
        </w:rPr>
      </w:pPr>
    </w:p>
    <w:p w14:paraId="16E052D8" w14:textId="77777777" w:rsidR="006C0C7C" w:rsidRDefault="006C0C7C">
      <w:pPr>
        <w:pStyle w:val="BodyText"/>
        <w:rPr>
          <w:sz w:val="20"/>
        </w:rPr>
      </w:pPr>
    </w:p>
    <w:p w14:paraId="36D6F1C0" w14:textId="77777777" w:rsidR="006C0C7C" w:rsidRDefault="005273D3">
      <w:pPr>
        <w:pStyle w:val="Heading1"/>
        <w:spacing w:before="90"/>
        <w:ind w:left="2651"/>
      </w:pPr>
      <w:r>
        <w:lastRenderedPageBreak/>
        <w:t>PART III: FAMILY DEBTS TO THE PHA</w:t>
      </w:r>
    </w:p>
    <w:p w14:paraId="6F051EF3" w14:textId="77777777" w:rsidR="006C0C7C" w:rsidRDefault="006C0C7C">
      <w:pPr>
        <w:pStyle w:val="BodyText"/>
        <w:rPr>
          <w:b/>
          <w:sz w:val="21"/>
        </w:rPr>
      </w:pPr>
    </w:p>
    <w:p w14:paraId="32814611" w14:textId="77777777" w:rsidR="006C0C7C" w:rsidRDefault="005273D3">
      <w:pPr>
        <w:ind w:left="220"/>
        <w:rPr>
          <w:b/>
          <w:sz w:val="24"/>
        </w:rPr>
      </w:pPr>
      <w:r>
        <w:rPr>
          <w:b/>
          <w:sz w:val="24"/>
        </w:rPr>
        <w:t>16-III.A. OVERVIEW</w:t>
      </w:r>
    </w:p>
    <w:p w14:paraId="2469C255" w14:textId="77777777" w:rsidR="006C0C7C" w:rsidRDefault="005273D3">
      <w:pPr>
        <w:pStyle w:val="BodyText"/>
        <w:spacing w:before="79" w:line="276" w:lineRule="auto"/>
        <w:ind w:left="220" w:right="508"/>
      </w:pPr>
      <w:r>
        <w:t>This part describes the PHA’s policies for recovery of monies owed to the PHA by families or owners.</w:t>
      </w:r>
    </w:p>
    <w:p w14:paraId="08510DA6" w14:textId="77777777" w:rsidR="006C0C7C" w:rsidRDefault="005273D3">
      <w:pPr>
        <w:pStyle w:val="Heading1"/>
        <w:spacing w:before="201"/>
        <w:ind w:left="940"/>
      </w:pPr>
      <w:r>
        <w:rPr>
          <w:u w:val="thick"/>
        </w:rPr>
        <w:t>MHA Policy</w:t>
      </w:r>
    </w:p>
    <w:p w14:paraId="288559D2" w14:textId="77777777" w:rsidR="006C0C7C" w:rsidRDefault="006C0C7C">
      <w:pPr>
        <w:pStyle w:val="BodyText"/>
        <w:spacing w:before="10"/>
        <w:rPr>
          <w:b/>
          <w:sz w:val="20"/>
        </w:rPr>
      </w:pPr>
    </w:p>
    <w:p w14:paraId="1ED38FD4" w14:textId="77777777" w:rsidR="006C0C7C" w:rsidRDefault="005273D3">
      <w:pPr>
        <w:pStyle w:val="BodyText"/>
        <w:spacing w:line="278" w:lineRule="auto"/>
        <w:ind w:left="940" w:right="762"/>
      </w:pPr>
      <w:r>
        <w:t>When an action or inaction of a family results in the underpayment of rent, the PHA holds the family liable to return any underpayments to the PHA.</w:t>
      </w:r>
    </w:p>
    <w:p w14:paraId="354176E2" w14:textId="77777777" w:rsidR="006C0C7C" w:rsidRDefault="005273D3">
      <w:pPr>
        <w:pStyle w:val="BodyText"/>
        <w:spacing w:before="195" w:line="276" w:lineRule="auto"/>
        <w:ind w:left="940" w:right="149"/>
      </w:pPr>
      <w:r>
        <w:t>The PHA will enter into repayment agreements in accordance with the policies contained in this part as a means to recover underpayments.</w:t>
      </w:r>
    </w:p>
    <w:p w14:paraId="2B7A7ECA" w14:textId="77777777" w:rsidR="006C0C7C" w:rsidRDefault="005273D3">
      <w:pPr>
        <w:pStyle w:val="BodyText"/>
        <w:spacing w:before="200" w:line="276" w:lineRule="auto"/>
        <w:ind w:left="940" w:right="761"/>
      </w:pPr>
      <w:r>
        <w:t>When a family refuses to repay monies owed to the PHA, the PHA will utilize other available collection alternatives including, but not limited to, the following:</w:t>
      </w:r>
    </w:p>
    <w:p w14:paraId="155ED830" w14:textId="77777777" w:rsidR="006C0C7C" w:rsidRDefault="005273D3">
      <w:pPr>
        <w:pStyle w:val="BodyText"/>
        <w:spacing w:before="201" w:line="448" w:lineRule="auto"/>
        <w:ind w:left="1660" w:right="5880"/>
      </w:pPr>
      <w:r>
        <w:t>Collection agencies Small claims court Civil law suit</w:t>
      </w:r>
    </w:p>
    <w:p w14:paraId="729863E1" w14:textId="77777777" w:rsidR="006C0C7C" w:rsidRDefault="005273D3">
      <w:pPr>
        <w:pStyle w:val="BodyText"/>
        <w:spacing w:before="5"/>
        <w:ind w:left="1660"/>
      </w:pPr>
      <w:r>
        <w:t>State income tax set-off program</w:t>
      </w:r>
    </w:p>
    <w:p w14:paraId="5B3CA2A7" w14:textId="77777777" w:rsidR="006C0C7C" w:rsidRDefault="006C0C7C">
      <w:pPr>
        <w:pStyle w:val="BodyText"/>
        <w:spacing w:before="10"/>
        <w:rPr>
          <w:sz w:val="20"/>
        </w:rPr>
      </w:pPr>
    </w:p>
    <w:p w14:paraId="4038BA82" w14:textId="77777777" w:rsidR="006C0C7C" w:rsidRDefault="005273D3">
      <w:pPr>
        <w:pStyle w:val="Heading1"/>
      </w:pPr>
      <w:r>
        <w:t>16-III.B. REPAYMENT POLICY</w:t>
      </w:r>
    </w:p>
    <w:p w14:paraId="5B57DEE6" w14:textId="77777777" w:rsidR="006C0C7C" w:rsidRDefault="006C0C7C">
      <w:pPr>
        <w:pStyle w:val="BodyText"/>
        <w:spacing w:before="1"/>
        <w:rPr>
          <w:b/>
          <w:sz w:val="21"/>
        </w:rPr>
      </w:pPr>
    </w:p>
    <w:p w14:paraId="550EF6F1" w14:textId="77777777" w:rsidR="006C0C7C" w:rsidRDefault="005273D3">
      <w:pPr>
        <w:spacing w:line="448" w:lineRule="auto"/>
        <w:ind w:left="940" w:right="6987" w:hanging="720"/>
        <w:rPr>
          <w:b/>
          <w:sz w:val="24"/>
        </w:rPr>
      </w:pPr>
      <w:r>
        <w:rPr>
          <w:b/>
          <w:sz w:val="24"/>
        </w:rPr>
        <w:t xml:space="preserve">Family Debts to the PHA </w:t>
      </w:r>
      <w:r>
        <w:rPr>
          <w:b/>
          <w:sz w:val="24"/>
          <w:u w:val="thick"/>
        </w:rPr>
        <w:t>MHA Policy</w:t>
      </w:r>
    </w:p>
    <w:p w14:paraId="3A247024" w14:textId="77777777" w:rsidR="006C0C7C" w:rsidRDefault="005273D3">
      <w:pPr>
        <w:pStyle w:val="BodyText"/>
        <w:spacing w:before="2" w:line="276" w:lineRule="auto"/>
        <w:ind w:left="940" w:right="201"/>
      </w:pPr>
      <w:r>
        <w:t>Any amount owed to the PHA by a public housing family must be repaid by the family. If the family is unable to repay the debt within 30 days, the PHA will offer to enter into a repayment agreement in accordance with the policies below.</w:t>
      </w:r>
    </w:p>
    <w:p w14:paraId="22EEE0D5" w14:textId="77777777" w:rsidR="006C0C7C" w:rsidRDefault="005273D3">
      <w:pPr>
        <w:pStyle w:val="BodyText"/>
        <w:spacing w:before="200" w:line="276" w:lineRule="auto"/>
        <w:ind w:left="940" w:right="716"/>
      </w:pPr>
      <w:r>
        <w:t>If the family refuses to repay the debt, does not enter into a repayment agreement, or breaches a repayment agreement, the PHA will terminate the family’s tenancy in accordance with the policies in Chapter 13 and pursue other modes of collection.</w:t>
      </w:r>
    </w:p>
    <w:p w14:paraId="4134175B" w14:textId="77777777" w:rsidR="006C0C7C" w:rsidRDefault="006C0C7C">
      <w:pPr>
        <w:pStyle w:val="BodyText"/>
        <w:rPr>
          <w:sz w:val="26"/>
        </w:rPr>
      </w:pPr>
    </w:p>
    <w:p w14:paraId="0670DEF2" w14:textId="77777777" w:rsidR="006C0C7C" w:rsidRDefault="005273D3">
      <w:pPr>
        <w:pStyle w:val="Heading1"/>
        <w:spacing w:before="177"/>
      </w:pPr>
      <w:r>
        <w:t>General Repayment Agreement Guidelines</w:t>
      </w:r>
    </w:p>
    <w:p w14:paraId="33259812" w14:textId="77777777" w:rsidR="006C0C7C" w:rsidRDefault="005273D3">
      <w:pPr>
        <w:pStyle w:val="Heading2"/>
        <w:spacing w:before="201"/>
      </w:pPr>
      <w:r>
        <w:t>Down Payment Requirement</w:t>
      </w:r>
    </w:p>
    <w:p w14:paraId="4447C02F" w14:textId="77777777" w:rsidR="00EB116A" w:rsidRDefault="00EB116A">
      <w:pPr>
        <w:spacing w:before="79"/>
        <w:ind w:left="940"/>
        <w:rPr>
          <w:b/>
          <w:sz w:val="24"/>
          <w:u w:val="thick"/>
        </w:rPr>
      </w:pPr>
    </w:p>
    <w:p w14:paraId="0FA49628" w14:textId="77777777" w:rsidR="006C0C7C" w:rsidRDefault="005273D3">
      <w:pPr>
        <w:spacing w:before="79"/>
        <w:ind w:left="940"/>
        <w:rPr>
          <w:b/>
          <w:sz w:val="24"/>
        </w:rPr>
      </w:pPr>
      <w:r>
        <w:rPr>
          <w:b/>
          <w:sz w:val="24"/>
          <w:u w:val="thick"/>
        </w:rPr>
        <w:t>MHA Policy</w:t>
      </w:r>
    </w:p>
    <w:p w14:paraId="38213028" w14:textId="77777777" w:rsidR="006C0C7C" w:rsidRDefault="006C0C7C">
      <w:pPr>
        <w:pStyle w:val="BodyText"/>
        <w:spacing w:before="1"/>
        <w:rPr>
          <w:b/>
          <w:sz w:val="21"/>
        </w:rPr>
      </w:pPr>
    </w:p>
    <w:p w14:paraId="6C414E23" w14:textId="77777777" w:rsidR="006C0C7C" w:rsidRDefault="005273D3">
      <w:pPr>
        <w:pStyle w:val="BodyText"/>
        <w:spacing w:line="276" w:lineRule="auto"/>
        <w:ind w:left="940" w:right="261"/>
      </w:pPr>
      <w:r>
        <w:t xml:space="preserve">Before executing a repayment agreement with a family, the PHA will generally require a down payment. If the family owes an amount that exceeds $1,000 but is less than $2,000, the family will be required to pay any amount more than $1,000 before entering into the </w:t>
      </w:r>
      <w:r>
        <w:lastRenderedPageBreak/>
        <w:t>repayment agreement. If the family owes an amount that is $1,000 or less, the family must pay 10 percent of the total amount owed. If the family can provide evidence satisfactory to the PHA that a down payment of 10 percent would impose an undue hardship, the PHA may, in its sole discretion, require a lesser percentage or waive the requirement. If the family owes more than $2,000, the amount is due immediately and no repayment agreement will be entered.</w:t>
      </w:r>
    </w:p>
    <w:p w14:paraId="205F8C3A" w14:textId="77777777" w:rsidR="006C0C7C" w:rsidRDefault="005273D3">
      <w:pPr>
        <w:pStyle w:val="Heading2"/>
      </w:pPr>
      <w:r>
        <w:t>Payment Thresholds</w:t>
      </w:r>
    </w:p>
    <w:p w14:paraId="0C935C20" w14:textId="77777777" w:rsidR="006C0C7C" w:rsidRDefault="006C0C7C">
      <w:pPr>
        <w:pStyle w:val="BodyText"/>
        <w:rPr>
          <w:b/>
          <w:i/>
          <w:sz w:val="21"/>
        </w:rPr>
      </w:pPr>
    </w:p>
    <w:p w14:paraId="0C41DCF1" w14:textId="507CAF00" w:rsidR="006C0C7C" w:rsidRDefault="005273D3">
      <w:pPr>
        <w:pStyle w:val="BodyText"/>
        <w:spacing w:before="1" w:line="276" w:lineRule="auto"/>
        <w:ind w:left="220" w:right="219"/>
      </w:pPr>
      <w:r>
        <w:t xml:space="preserve">Notice PIH </w:t>
      </w:r>
      <w:r w:rsidR="00E97D0A">
        <w:t>2017-12</w:t>
      </w:r>
      <w:r>
        <w:t xml:space="preserve"> recommends that the total amount that a family must pay each month – the family’s share of rent plus the monthly debt repayment amount – should not exceed 40 percent of the family’s monthly adjusted income, which is considered “affordable”. Moreover, Notice PIH </w:t>
      </w:r>
      <w:r w:rsidR="00E97D0A">
        <w:t>2017-12</w:t>
      </w:r>
      <w:r>
        <w:t xml:space="preserve"> acknowledges that PHAs have the discretion to establish “thresholds and policies” for repayment agreements with families [24 CFR 982.522(c)(1)(vii)].</w:t>
      </w:r>
    </w:p>
    <w:p w14:paraId="55C5CE8F" w14:textId="77777777" w:rsidR="006C0C7C" w:rsidRDefault="005273D3">
      <w:pPr>
        <w:pStyle w:val="Heading1"/>
        <w:spacing w:before="198"/>
        <w:ind w:left="940"/>
      </w:pPr>
      <w:r>
        <w:rPr>
          <w:u w:val="thick"/>
        </w:rPr>
        <w:t>MHA Policy</w:t>
      </w:r>
    </w:p>
    <w:p w14:paraId="209228F4" w14:textId="77777777" w:rsidR="006C0C7C" w:rsidRDefault="006C0C7C">
      <w:pPr>
        <w:pStyle w:val="BodyText"/>
        <w:spacing w:before="1"/>
        <w:rPr>
          <w:b/>
          <w:sz w:val="21"/>
        </w:rPr>
      </w:pPr>
    </w:p>
    <w:p w14:paraId="2239ECCA" w14:textId="77777777" w:rsidR="006C0C7C" w:rsidRDefault="005273D3">
      <w:pPr>
        <w:pStyle w:val="BodyText"/>
        <w:ind w:left="940"/>
      </w:pPr>
      <w:r>
        <w:t>The family will have up to twelve months to pay back the debt. The PHA will take the</w:t>
      </w:r>
    </w:p>
    <w:p w14:paraId="233DB430" w14:textId="34C4B988" w:rsidR="006C0C7C" w:rsidRDefault="005273D3">
      <w:pPr>
        <w:pStyle w:val="BodyText"/>
        <w:spacing w:before="41"/>
        <w:ind w:left="940"/>
      </w:pPr>
      <w:proofErr w:type="gramStart"/>
      <w:r>
        <w:t>total amount</w:t>
      </w:r>
      <w:r w:rsidR="008A0EA0">
        <w:t>,</w:t>
      </w:r>
      <w:proofErr w:type="gramEnd"/>
      <w:r>
        <w:t xml:space="preserve"> divide it by twelve and this will constitute the family’s monthly payment.</w:t>
      </w:r>
    </w:p>
    <w:p w14:paraId="11364EC3" w14:textId="77777777" w:rsidR="00FA50F2" w:rsidRDefault="00FA50F2">
      <w:pPr>
        <w:pStyle w:val="BodyText"/>
        <w:spacing w:before="41"/>
        <w:ind w:left="940"/>
      </w:pPr>
    </w:p>
    <w:p w14:paraId="6B784097" w14:textId="77777777" w:rsidR="006C0C7C" w:rsidRDefault="005273D3">
      <w:pPr>
        <w:pStyle w:val="BodyText"/>
        <w:spacing w:line="276" w:lineRule="auto"/>
        <w:ind w:left="940" w:right="260"/>
      </w:pPr>
      <w:r>
        <w:t>If a family can provide evidence satisfactory to the PHA that a monthly payment amount would impose an undue hardship, the PHA may, in its sole discretion, require a lower monthly payment amount.</w:t>
      </w:r>
    </w:p>
    <w:p w14:paraId="7F52D212" w14:textId="77777777" w:rsidR="006C0C7C" w:rsidRDefault="005273D3">
      <w:pPr>
        <w:pStyle w:val="BodyText"/>
        <w:spacing w:before="200" w:line="276" w:lineRule="auto"/>
        <w:ind w:left="940" w:right="327"/>
      </w:pPr>
      <w:r>
        <w:t>If the family’s income increases or decreases during the term of a repayment agreement, either the PHA or the family may request that the monthly payment amount be adjusted accordingly. If the family’s income decreases, the PHA may, in its sole discretion, require a lower monthly payment amount. In making its determination, the PHA will consider all relevant information, including the following:</w:t>
      </w:r>
    </w:p>
    <w:p w14:paraId="2751E810" w14:textId="77777777" w:rsidR="006C0C7C" w:rsidRDefault="005273D3">
      <w:pPr>
        <w:pStyle w:val="BodyText"/>
        <w:spacing w:before="199"/>
        <w:ind w:left="1660"/>
      </w:pPr>
      <w:r>
        <w:t>The amount owed by the family to the PHA</w:t>
      </w:r>
    </w:p>
    <w:p w14:paraId="0C407A78" w14:textId="77777777" w:rsidR="006C0C7C" w:rsidRDefault="006C0C7C">
      <w:pPr>
        <w:pStyle w:val="BodyText"/>
        <w:spacing w:before="1"/>
        <w:rPr>
          <w:sz w:val="21"/>
        </w:rPr>
      </w:pPr>
    </w:p>
    <w:p w14:paraId="20A6FA1A" w14:textId="77777777" w:rsidR="006C0C7C" w:rsidRDefault="005273D3">
      <w:pPr>
        <w:pStyle w:val="BodyText"/>
        <w:spacing w:before="1" w:line="276" w:lineRule="auto"/>
        <w:ind w:left="1660" w:right="882"/>
      </w:pPr>
      <w:r>
        <w:t>The reason for the debt, including whether the debt was the result of family action/inaction or circumstances beyond the family’s control</w:t>
      </w:r>
    </w:p>
    <w:p w14:paraId="40D58D3D" w14:textId="77777777" w:rsidR="006C0C7C" w:rsidRDefault="005273D3">
      <w:pPr>
        <w:pStyle w:val="BodyText"/>
        <w:spacing w:before="198"/>
        <w:ind w:left="1660"/>
      </w:pPr>
      <w:r>
        <w:t>The family’s current and potential income and expenses</w:t>
      </w:r>
    </w:p>
    <w:p w14:paraId="5B98362C" w14:textId="77777777" w:rsidR="006C0C7C" w:rsidRDefault="006C0C7C">
      <w:pPr>
        <w:pStyle w:val="BodyText"/>
        <w:rPr>
          <w:sz w:val="21"/>
        </w:rPr>
      </w:pPr>
    </w:p>
    <w:p w14:paraId="79632E17" w14:textId="77777777" w:rsidR="006C0C7C" w:rsidRDefault="005273D3">
      <w:pPr>
        <w:pStyle w:val="BodyText"/>
        <w:spacing w:before="1"/>
        <w:ind w:left="1660"/>
      </w:pPr>
      <w:r>
        <w:t>The family’s history of meeting its financial responsibilities</w:t>
      </w:r>
    </w:p>
    <w:p w14:paraId="6CEC2F13" w14:textId="77777777" w:rsidR="006C0C7C" w:rsidRDefault="006C0C7C">
      <w:pPr>
        <w:pStyle w:val="BodyText"/>
        <w:rPr>
          <w:sz w:val="21"/>
        </w:rPr>
      </w:pPr>
    </w:p>
    <w:p w14:paraId="3BD6DC85" w14:textId="77777777" w:rsidR="006C0C7C" w:rsidRDefault="005273D3">
      <w:pPr>
        <w:ind w:left="220"/>
        <w:rPr>
          <w:b/>
          <w:sz w:val="24"/>
        </w:rPr>
      </w:pPr>
      <w:r>
        <w:rPr>
          <w:b/>
          <w:i/>
          <w:sz w:val="24"/>
        </w:rPr>
        <w:t xml:space="preserve">Repayment Agreement </w:t>
      </w:r>
      <w:r>
        <w:rPr>
          <w:b/>
          <w:sz w:val="24"/>
        </w:rPr>
        <w:t>[24 CFR 792.103]</w:t>
      </w:r>
    </w:p>
    <w:p w14:paraId="3CD6B475" w14:textId="77777777" w:rsidR="006C0C7C" w:rsidRDefault="005273D3">
      <w:pPr>
        <w:pStyle w:val="BodyText"/>
        <w:spacing w:before="79" w:line="276" w:lineRule="auto"/>
        <w:ind w:left="220" w:right="327"/>
      </w:pPr>
      <w:r>
        <w:t xml:space="preserve">The term </w:t>
      </w:r>
      <w:r>
        <w:rPr>
          <w:i/>
        </w:rPr>
        <w:t xml:space="preserve">repayment agreement </w:t>
      </w:r>
      <w:r>
        <w:t>refers to a formal written document signed by a tenant and provided to the PHA in which a tenant acknowledges a debt in a specific amount and agrees to repay the amount due at specific time periods.</w:t>
      </w:r>
    </w:p>
    <w:p w14:paraId="13D5B3B0" w14:textId="77777777" w:rsidR="00FA50F2" w:rsidRDefault="00FA50F2">
      <w:pPr>
        <w:pStyle w:val="BodyText"/>
        <w:spacing w:before="79" w:line="276" w:lineRule="auto"/>
        <w:ind w:left="220" w:right="327"/>
      </w:pPr>
      <w:bookmarkStart w:id="0" w:name="_Hlk31818745"/>
      <w:r>
        <w:t>The agreement will include a statement clarifying that each month the family not only must pay the PHA the monthly amount specified in the agreement but must also pay to the PHA the monthly tenant rent.</w:t>
      </w:r>
    </w:p>
    <w:bookmarkEnd w:id="0"/>
    <w:p w14:paraId="085B2FD9" w14:textId="77777777" w:rsidR="006C0C7C" w:rsidRDefault="00FA50F2">
      <w:pPr>
        <w:pStyle w:val="Heading2"/>
      </w:pPr>
      <w:r>
        <w:lastRenderedPageBreak/>
        <w:t>E</w:t>
      </w:r>
      <w:r w:rsidR="005273D3">
        <w:t>xecution of the Agreement</w:t>
      </w:r>
    </w:p>
    <w:p w14:paraId="2D474132" w14:textId="77777777" w:rsidR="006C0C7C" w:rsidRDefault="006C0C7C">
      <w:pPr>
        <w:pStyle w:val="BodyText"/>
        <w:spacing w:before="1"/>
        <w:rPr>
          <w:b/>
          <w:i/>
          <w:sz w:val="21"/>
        </w:rPr>
      </w:pPr>
    </w:p>
    <w:p w14:paraId="219CD8D5" w14:textId="77777777" w:rsidR="006C0C7C" w:rsidRDefault="005273D3">
      <w:pPr>
        <w:ind w:left="940"/>
        <w:rPr>
          <w:b/>
          <w:sz w:val="24"/>
        </w:rPr>
      </w:pPr>
      <w:r>
        <w:rPr>
          <w:b/>
          <w:sz w:val="24"/>
          <w:u w:val="thick"/>
        </w:rPr>
        <w:t>MHA Policy</w:t>
      </w:r>
    </w:p>
    <w:p w14:paraId="193729AA" w14:textId="77777777" w:rsidR="006C0C7C" w:rsidRDefault="006C0C7C">
      <w:pPr>
        <w:pStyle w:val="BodyText"/>
        <w:spacing w:before="10"/>
        <w:rPr>
          <w:b/>
          <w:sz w:val="20"/>
        </w:rPr>
      </w:pPr>
    </w:p>
    <w:p w14:paraId="744620C4" w14:textId="77777777" w:rsidR="006C0C7C" w:rsidRDefault="005273D3">
      <w:pPr>
        <w:pStyle w:val="BodyText"/>
        <w:spacing w:line="276" w:lineRule="auto"/>
        <w:ind w:left="940" w:right="495"/>
      </w:pPr>
      <w:r>
        <w:t>Any repayment agreement between the PHA and a family must be signed and dated by the PHA and by all adult family members.</w:t>
      </w:r>
    </w:p>
    <w:p w14:paraId="41640061" w14:textId="77777777" w:rsidR="006C0C7C" w:rsidRDefault="005273D3">
      <w:pPr>
        <w:pStyle w:val="Heading2"/>
        <w:spacing w:before="201"/>
      </w:pPr>
      <w:r>
        <w:t>Due Dates</w:t>
      </w:r>
    </w:p>
    <w:p w14:paraId="346F68C6" w14:textId="77777777" w:rsidR="006C0C7C" w:rsidRDefault="006C0C7C">
      <w:pPr>
        <w:pStyle w:val="BodyText"/>
        <w:spacing w:before="1"/>
        <w:rPr>
          <w:b/>
          <w:i/>
          <w:sz w:val="21"/>
        </w:rPr>
      </w:pPr>
    </w:p>
    <w:p w14:paraId="31133E1C" w14:textId="77777777" w:rsidR="006C0C7C" w:rsidRDefault="005273D3">
      <w:pPr>
        <w:ind w:left="940"/>
        <w:rPr>
          <w:b/>
          <w:sz w:val="24"/>
        </w:rPr>
      </w:pPr>
      <w:r>
        <w:rPr>
          <w:b/>
          <w:sz w:val="24"/>
          <w:u w:val="thick"/>
        </w:rPr>
        <w:t>MHA Policy</w:t>
      </w:r>
    </w:p>
    <w:p w14:paraId="4A428B44" w14:textId="77777777" w:rsidR="006C0C7C" w:rsidRDefault="006C0C7C">
      <w:pPr>
        <w:pStyle w:val="BodyText"/>
        <w:spacing w:before="10"/>
        <w:rPr>
          <w:b/>
          <w:sz w:val="20"/>
        </w:rPr>
      </w:pPr>
    </w:p>
    <w:p w14:paraId="75E59A66" w14:textId="77777777" w:rsidR="006C0C7C" w:rsidRDefault="005273D3">
      <w:pPr>
        <w:pStyle w:val="BodyText"/>
        <w:spacing w:line="276" w:lineRule="auto"/>
        <w:ind w:left="940" w:right="327"/>
      </w:pPr>
      <w:r>
        <w:t>All payments are due by the close of business on the 15th day of the month. If the 15th does not fall on a business day, the due date is the close of business on the first business day after the 15th.</w:t>
      </w:r>
    </w:p>
    <w:p w14:paraId="04612E13" w14:textId="77777777" w:rsidR="006C0C7C" w:rsidRDefault="005273D3">
      <w:pPr>
        <w:pStyle w:val="Heading2"/>
      </w:pPr>
      <w:r>
        <w:t>Late or Missed Payments</w:t>
      </w:r>
    </w:p>
    <w:p w14:paraId="1F313B7D" w14:textId="77777777" w:rsidR="006C0C7C" w:rsidRDefault="006C0C7C">
      <w:pPr>
        <w:pStyle w:val="BodyText"/>
        <w:spacing w:before="1"/>
        <w:rPr>
          <w:b/>
          <w:i/>
          <w:sz w:val="21"/>
        </w:rPr>
      </w:pPr>
    </w:p>
    <w:p w14:paraId="3EC3E0CF" w14:textId="77777777" w:rsidR="006C0C7C" w:rsidRDefault="005273D3">
      <w:pPr>
        <w:ind w:left="940"/>
        <w:rPr>
          <w:b/>
          <w:sz w:val="24"/>
        </w:rPr>
      </w:pPr>
      <w:r>
        <w:rPr>
          <w:b/>
          <w:sz w:val="24"/>
          <w:u w:val="thick"/>
        </w:rPr>
        <w:t>MHA Policy</w:t>
      </w:r>
    </w:p>
    <w:p w14:paraId="7B943A17" w14:textId="77777777" w:rsidR="006C0C7C" w:rsidRDefault="006C0C7C">
      <w:pPr>
        <w:pStyle w:val="BodyText"/>
        <w:spacing w:before="10"/>
        <w:rPr>
          <w:b/>
          <w:sz w:val="20"/>
        </w:rPr>
      </w:pPr>
    </w:p>
    <w:p w14:paraId="00857CD8" w14:textId="77777777" w:rsidR="006C0C7C" w:rsidRDefault="005273D3">
      <w:pPr>
        <w:pStyle w:val="BodyText"/>
        <w:spacing w:line="276" w:lineRule="auto"/>
        <w:ind w:left="940" w:right="149"/>
      </w:pPr>
      <w:r>
        <w:t>If a payment is not received by the end of the business day on the date due, and prior approval for the missed payment has not been given by the PHA, the PHA will send the family a delinquency notice giving the family 10 business days to make the late payment. If the payment is not received by the due date of the delinquency notice, it will be considered a breach of the agreement and the PHA will terminate tenancy in accordance with the policies in Chapter 13.</w:t>
      </w:r>
    </w:p>
    <w:p w14:paraId="1C1320F2" w14:textId="77777777" w:rsidR="006C0C7C" w:rsidRDefault="005273D3">
      <w:pPr>
        <w:pStyle w:val="BodyText"/>
        <w:spacing w:before="201" w:line="276" w:lineRule="auto"/>
        <w:ind w:left="940" w:right="263"/>
      </w:pPr>
      <w:r>
        <w:t>If a family receives three delinquency notices for unexcused late payments in a 12-month period, the repayment agreement will be considered in default, and the PHA will terminate tenancy in accordance with the policies in Chapter 13.</w:t>
      </w:r>
    </w:p>
    <w:p w14:paraId="24E3996B" w14:textId="77777777" w:rsidR="006C0C7C" w:rsidRDefault="005273D3">
      <w:pPr>
        <w:pStyle w:val="Heading2"/>
      </w:pPr>
      <w:r>
        <w:t>No Offer of Repayment Agreement</w:t>
      </w:r>
    </w:p>
    <w:p w14:paraId="4A815102" w14:textId="77777777" w:rsidR="006C0C7C" w:rsidRDefault="006C0C7C">
      <w:pPr>
        <w:pStyle w:val="BodyText"/>
        <w:spacing w:before="1"/>
        <w:rPr>
          <w:b/>
          <w:i/>
          <w:sz w:val="21"/>
        </w:rPr>
      </w:pPr>
    </w:p>
    <w:p w14:paraId="5E0DA596" w14:textId="77777777" w:rsidR="006C0C7C" w:rsidRDefault="005273D3">
      <w:pPr>
        <w:ind w:left="940"/>
        <w:rPr>
          <w:b/>
          <w:sz w:val="24"/>
        </w:rPr>
      </w:pPr>
      <w:r>
        <w:rPr>
          <w:b/>
          <w:sz w:val="24"/>
          <w:u w:val="thick"/>
        </w:rPr>
        <w:t>MHA Policy</w:t>
      </w:r>
    </w:p>
    <w:p w14:paraId="4C964435" w14:textId="77777777" w:rsidR="006C0C7C" w:rsidRDefault="006C0C7C">
      <w:pPr>
        <w:pStyle w:val="BodyText"/>
        <w:spacing w:before="10"/>
        <w:rPr>
          <w:b/>
          <w:sz w:val="20"/>
        </w:rPr>
      </w:pPr>
    </w:p>
    <w:p w14:paraId="3BC3817E" w14:textId="77777777" w:rsidR="006C0C7C" w:rsidRDefault="005273D3">
      <w:pPr>
        <w:pStyle w:val="BodyText"/>
        <w:spacing w:line="276" w:lineRule="auto"/>
        <w:ind w:left="940" w:right="620"/>
        <w:jc w:val="both"/>
      </w:pPr>
      <w:r>
        <w:t>The PHA generally will not enter into a repayment agreement with a family if there</w:t>
      </w:r>
      <w:r>
        <w:rPr>
          <w:spacing w:val="-19"/>
        </w:rPr>
        <w:t xml:space="preserve"> </w:t>
      </w:r>
      <w:r>
        <w:t>is already a repayment agreement in place with the family or if the amount owed by the family exceeds the federal or state threshold for criminal</w:t>
      </w:r>
      <w:r>
        <w:rPr>
          <w:spacing w:val="-9"/>
        </w:rPr>
        <w:t xml:space="preserve"> </w:t>
      </w:r>
      <w:r>
        <w:t>prosecution.</w:t>
      </w:r>
    </w:p>
    <w:p w14:paraId="564B8940" w14:textId="77777777" w:rsidR="006C0C7C" w:rsidRDefault="005273D3">
      <w:pPr>
        <w:pStyle w:val="Heading1"/>
        <w:spacing w:before="200"/>
      </w:pPr>
      <w:r>
        <w:t>Repayment Agreements Involving Improper Payments</w:t>
      </w:r>
    </w:p>
    <w:p w14:paraId="2ADD4B38" w14:textId="77777777" w:rsidR="006C0C7C" w:rsidRDefault="006C0C7C">
      <w:pPr>
        <w:pStyle w:val="BodyText"/>
        <w:spacing w:before="1"/>
        <w:rPr>
          <w:b/>
          <w:sz w:val="21"/>
        </w:rPr>
      </w:pPr>
    </w:p>
    <w:p w14:paraId="069B7D90" w14:textId="271DA62B" w:rsidR="006C0C7C" w:rsidRDefault="005273D3">
      <w:pPr>
        <w:pStyle w:val="BodyText"/>
        <w:spacing w:line="276" w:lineRule="auto"/>
        <w:ind w:left="220" w:right="802"/>
      </w:pPr>
      <w:r>
        <w:t xml:space="preserve">Notice PIH </w:t>
      </w:r>
      <w:r w:rsidR="00E97D0A">
        <w:t>2017-12</w:t>
      </w:r>
      <w:r>
        <w:t xml:space="preserve"> requires certain provisions to be included in any repayment agreement involving amounts owed by a family because it underreported or failed to report income:</w:t>
      </w:r>
    </w:p>
    <w:p w14:paraId="162CA51A" w14:textId="77777777" w:rsidR="006C0C7C" w:rsidRDefault="005273D3">
      <w:pPr>
        <w:pStyle w:val="ListParagraph"/>
        <w:numPr>
          <w:ilvl w:val="0"/>
          <w:numId w:val="5"/>
        </w:numPr>
        <w:tabs>
          <w:tab w:val="left" w:pos="940"/>
          <w:tab w:val="left" w:pos="941"/>
        </w:tabs>
        <w:spacing w:before="79" w:line="276" w:lineRule="auto"/>
        <w:ind w:right="350"/>
        <w:rPr>
          <w:sz w:val="24"/>
        </w:rPr>
      </w:pPr>
      <w:r>
        <w:rPr>
          <w:sz w:val="24"/>
        </w:rPr>
        <w:t>A reference to the items in the public housing lease that state the family’s obligation to provide true and complete information at every reexamination and the grounds on which the PHA may terminate assistance because of a family’s action or failure to</w:t>
      </w:r>
      <w:r>
        <w:rPr>
          <w:spacing w:val="-17"/>
          <w:sz w:val="24"/>
        </w:rPr>
        <w:t xml:space="preserve"> </w:t>
      </w:r>
      <w:r>
        <w:rPr>
          <w:sz w:val="24"/>
        </w:rPr>
        <w:t>act</w:t>
      </w:r>
    </w:p>
    <w:p w14:paraId="49C69B3B" w14:textId="4505D32B" w:rsidR="006C0C7C" w:rsidRDefault="005273D3">
      <w:pPr>
        <w:pStyle w:val="ListParagraph"/>
        <w:numPr>
          <w:ilvl w:val="0"/>
          <w:numId w:val="5"/>
        </w:numPr>
        <w:tabs>
          <w:tab w:val="left" w:pos="940"/>
          <w:tab w:val="left" w:pos="941"/>
        </w:tabs>
        <w:ind w:right="563"/>
        <w:rPr>
          <w:sz w:val="24"/>
        </w:rPr>
      </w:pPr>
      <w:bookmarkStart w:id="1" w:name="_Hlk14774918"/>
      <w:r>
        <w:rPr>
          <w:sz w:val="24"/>
        </w:rPr>
        <w:t xml:space="preserve">A statement clarifying that each month the family not only must pay the PHA the monthly payment amount specified in the agreement but must also pay to the PHA the </w:t>
      </w:r>
      <w:r>
        <w:rPr>
          <w:sz w:val="24"/>
        </w:rPr>
        <w:lastRenderedPageBreak/>
        <w:t>monthly tenant</w:t>
      </w:r>
      <w:r>
        <w:rPr>
          <w:spacing w:val="-8"/>
          <w:sz w:val="24"/>
        </w:rPr>
        <w:t xml:space="preserve"> </w:t>
      </w:r>
      <w:r>
        <w:rPr>
          <w:sz w:val="24"/>
        </w:rPr>
        <w:t>rent.</w:t>
      </w:r>
    </w:p>
    <w:bookmarkEnd w:id="1"/>
    <w:p w14:paraId="633DF688" w14:textId="77777777" w:rsidR="006C0C7C" w:rsidRDefault="005273D3">
      <w:pPr>
        <w:pStyle w:val="ListParagraph"/>
        <w:numPr>
          <w:ilvl w:val="0"/>
          <w:numId w:val="5"/>
        </w:numPr>
        <w:tabs>
          <w:tab w:val="left" w:pos="940"/>
          <w:tab w:val="left" w:pos="941"/>
        </w:tabs>
        <w:spacing w:before="176" w:line="278" w:lineRule="auto"/>
        <w:ind w:right="1029"/>
        <w:rPr>
          <w:sz w:val="24"/>
        </w:rPr>
      </w:pPr>
      <w:r>
        <w:rPr>
          <w:sz w:val="24"/>
        </w:rPr>
        <w:t>A statement that the terms of the repayment agreement may be renegotiated if</w:t>
      </w:r>
      <w:r>
        <w:rPr>
          <w:spacing w:val="-14"/>
          <w:sz w:val="24"/>
        </w:rPr>
        <w:t xml:space="preserve"> </w:t>
      </w:r>
      <w:r>
        <w:rPr>
          <w:sz w:val="24"/>
        </w:rPr>
        <w:t>the family’s income decreases or</w:t>
      </w:r>
      <w:r>
        <w:rPr>
          <w:spacing w:val="-3"/>
          <w:sz w:val="24"/>
        </w:rPr>
        <w:t xml:space="preserve"> </w:t>
      </w:r>
      <w:r>
        <w:rPr>
          <w:sz w:val="24"/>
        </w:rPr>
        <w:t>increases</w:t>
      </w:r>
    </w:p>
    <w:p w14:paraId="5B279FEA" w14:textId="77777777" w:rsidR="006C0C7C" w:rsidRDefault="005273D3">
      <w:pPr>
        <w:pStyle w:val="ListParagraph"/>
        <w:numPr>
          <w:ilvl w:val="0"/>
          <w:numId w:val="5"/>
        </w:numPr>
        <w:tabs>
          <w:tab w:val="left" w:pos="940"/>
          <w:tab w:val="left" w:pos="941"/>
        </w:tabs>
        <w:spacing w:before="195" w:line="276" w:lineRule="auto"/>
        <w:ind w:right="451"/>
        <w:rPr>
          <w:sz w:val="24"/>
        </w:rPr>
      </w:pPr>
      <w:r>
        <w:rPr>
          <w:sz w:val="24"/>
        </w:rPr>
        <w:t>A statement that late or missed payments constitute default of the repayment</w:t>
      </w:r>
      <w:r>
        <w:rPr>
          <w:spacing w:val="-17"/>
          <w:sz w:val="24"/>
        </w:rPr>
        <w:t xml:space="preserve"> </w:t>
      </w:r>
      <w:r>
        <w:rPr>
          <w:sz w:val="24"/>
        </w:rPr>
        <w:t>agreement and may result in termination of</w:t>
      </w:r>
      <w:r>
        <w:rPr>
          <w:spacing w:val="-6"/>
          <w:sz w:val="24"/>
        </w:rPr>
        <w:t xml:space="preserve"> </w:t>
      </w:r>
      <w:r>
        <w:rPr>
          <w:sz w:val="24"/>
        </w:rPr>
        <w:t>tenancy</w:t>
      </w:r>
    </w:p>
    <w:p w14:paraId="1A2EAC0D" w14:textId="77777777" w:rsidR="006C0C7C" w:rsidRDefault="006C0C7C">
      <w:pPr>
        <w:pStyle w:val="BodyText"/>
        <w:rPr>
          <w:sz w:val="26"/>
        </w:rPr>
      </w:pPr>
    </w:p>
    <w:p w14:paraId="0B8B329C" w14:textId="77777777" w:rsidR="006C0C7C" w:rsidRDefault="006C0C7C">
      <w:pPr>
        <w:pStyle w:val="BodyText"/>
        <w:rPr>
          <w:sz w:val="26"/>
        </w:rPr>
      </w:pPr>
    </w:p>
    <w:p w14:paraId="762153E0" w14:textId="77777777" w:rsidR="006C0C7C" w:rsidRDefault="006C0C7C">
      <w:pPr>
        <w:pStyle w:val="BodyText"/>
        <w:rPr>
          <w:sz w:val="26"/>
        </w:rPr>
      </w:pPr>
    </w:p>
    <w:p w14:paraId="779BA3F8" w14:textId="77777777" w:rsidR="006C0C7C" w:rsidRDefault="006C0C7C">
      <w:pPr>
        <w:pStyle w:val="BodyText"/>
        <w:rPr>
          <w:sz w:val="26"/>
        </w:rPr>
      </w:pPr>
    </w:p>
    <w:p w14:paraId="28EE5B01" w14:textId="77777777" w:rsidR="006C0C7C" w:rsidRDefault="006C0C7C">
      <w:pPr>
        <w:pStyle w:val="BodyText"/>
        <w:rPr>
          <w:sz w:val="26"/>
        </w:rPr>
      </w:pPr>
    </w:p>
    <w:p w14:paraId="5B25FD38" w14:textId="77777777" w:rsidR="006C0C7C" w:rsidRDefault="006C0C7C">
      <w:pPr>
        <w:pStyle w:val="BodyText"/>
        <w:rPr>
          <w:sz w:val="26"/>
        </w:rPr>
      </w:pPr>
    </w:p>
    <w:p w14:paraId="5B702E99" w14:textId="77777777" w:rsidR="006C0C7C" w:rsidRDefault="006C0C7C">
      <w:pPr>
        <w:pStyle w:val="BodyText"/>
        <w:rPr>
          <w:sz w:val="26"/>
        </w:rPr>
      </w:pPr>
    </w:p>
    <w:p w14:paraId="79B89AF1" w14:textId="77777777" w:rsidR="006C0C7C" w:rsidRDefault="006C0C7C">
      <w:pPr>
        <w:pStyle w:val="BodyText"/>
        <w:rPr>
          <w:sz w:val="26"/>
        </w:rPr>
      </w:pPr>
    </w:p>
    <w:p w14:paraId="3A1CF6F4" w14:textId="77777777" w:rsidR="006C0C7C" w:rsidRDefault="006C0C7C">
      <w:pPr>
        <w:pStyle w:val="BodyText"/>
        <w:rPr>
          <w:sz w:val="26"/>
        </w:rPr>
      </w:pPr>
    </w:p>
    <w:p w14:paraId="043ABB99" w14:textId="77777777" w:rsidR="006C0C7C" w:rsidRDefault="006C0C7C">
      <w:pPr>
        <w:pStyle w:val="BodyText"/>
        <w:rPr>
          <w:sz w:val="26"/>
        </w:rPr>
      </w:pPr>
    </w:p>
    <w:p w14:paraId="5C3B7E99" w14:textId="77777777" w:rsidR="006C0C7C" w:rsidRDefault="006C0C7C">
      <w:pPr>
        <w:pStyle w:val="BodyText"/>
        <w:rPr>
          <w:sz w:val="26"/>
        </w:rPr>
      </w:pPr>
    </w:p>
    <w:p w14:paraId="71749F40" w14:textId="77777777" w:rsidR="006C0C7C" w:rsidRDefault="006C0C7C">
      <w:pPr>
        <w:pStyle w:val="BodyText"/>
        <w:rPr>
          <w:sz w:val="26"/>
        </w:rPr>
      </w:pPr>
    </w:p>
    <w:p w14:paraId="220E5B21" w14:textId="77777777" w:rsidR="006C0C7C" w:rsidRDefault="006C0C7C">
      <w:pPr>
        <w:pStyle w:val="BodyText"/>
        <w:rPr>
          <w:sz w:val="26"/>
        </w:rPr>
      </w:pPr>
    </w:p>
    <w:p w14:paraId="1BCAC4A7" w14:textId="77777777" w:rsidR="006C0C7C" w:rsidRDefault="006C0C7C">
      <w:pPr>
        <w:pStyle w:val="BodyText"/>
        <w:rPr>
          <w:sz w:val="26"/>
        </w:rPr>
      </w:pPr>
    </w:p>
    <w:p w14:paraId="4CE6EEF8" w14:textId="77777777" w:rsidR="006C0C7C" w:rsidRDefault="006C0C7C">
      <w:pPr>
        <w:pStyle w:val="BodyText"/>
        <w:rPr>
          <w:sz w:val="26"/>
        </w:rPr>
      </w:pPr>
    </w:p>
    <w:p w14:paraId="526A71B1" w14:textId="77777777" w:rsidR="006C0C7C" w:rsidRDefault="006C0C7C">
      <w:pPr>
        <w:pStyle w:val="BodyText"/>
        <w:rPr>
          <w:sz w:val="26"/>
        </w:rPr>
      </w:pPr>
    </w:p>
    <w:p w14:paraId="589865B9" w14:textId="77777777" w:rsidR="006C0C7C" w:rsidRDefault="006C0C7C">
      <w:pPr>
        <w:pStyle w:val="BodyText"/>
        <w:rPr>
          <w:sz w:val="26"/>
        </w:rPr>
      </w:pPr>
    </w:p>
    <w:p w14:paraId="69833C8D" w14:textId="77777777" w:rsidR="006C0C7C" w:rsidRDefault="006C0C7C">
      <w:pPr>
        <w:pStyle w:val="BodyText"/>
        <w:rPr>
          <w:sz w:val="26"/>
        </w:rPr>
      </w:pPr>
    </w:p>
    <w:p w14:paraId="6AB6DEF6" w14:textId="77777777" w:rsidR="006C0C7C" w:rsidRDefault="006C0C7C">
      <w:pPr>
        <w:pStyle w:val="BodyText"/>
        <w:rPr>
          <w:sz w:val="26"/>
        </w:rPr>
      </w:pPr>
    </w:p>
    <w:p w14:paraId="0494793C" w14:textId="77777777" w:rsidR="006C0C7C" w:rsidRDefault="006C0C7C">
      <w:pPr>
        <w:pStyle w:val="BodyText"/>
        <w:rPr>
          <w:sz w:val="26"/>
        </w:rPr>
      </w:pPr>
    </w:p>
    <w:p w14:paraId="4EFB9B8F" w14:textId="77777777" w:rsidR="006C0C7C" w:rsidRDefault="006C0C7C">
      <w:pPr>
        <w:pStyle w:val="BodyText"/>
        <w:rPr>
          <w:sz w:val="26"/>
        </w:rPr>
      </w:pPr>
    </w:p>
    <w:p w14:paraId="258B8F99" w14:textId="77777777" w:rsidR="006C0C7C" w:rsidRDefault="006C0C7C">
      <w:pPr>
        <w:pStyle w:val="BodyText"/>
        <w:rPr>
          <w:sz w:val="26"/>
        </w:rPr>
      </w:pPr>
    </w:p>
    <w:p w14:paraId="7610A178" w14:textId="77777777" w:rsidR="00EB116A" w:rsidRDefault="00EB116A">
      <w:pPr>
        <w:pStyle w:val="BodyText"/>
        <w:rPr>
          <w:sz w:val="26"/>
        </w:rPr>
      </w:pPr>
    </w:p>
    <w:p w14:paraId="770F5DF8" w14:textId="77777777" w:rsidR="00EB116A" w:rsidRDefault="00EB116A">
      <w:pPr>
        <w:pStyle w:val="BodyText"/>
        <w:rPr>
          <w:sz w:val="26"/>
        </w:rPr>
      </w:pPr>
    </w:p>
    <w:p w14:paraId="2394EA28" w14:textId="77777777" w:rsidR="00EB116A" w:rsidRDefault="00EB116A">
      <w:pPr>
        <w:pStyle w:val="BodyText"/>
        <w:rPr>
          <w:sz w:val="26"/>
        </w:rPr>
      </w:pPr>
    </w:p>
    <w:p w14:paraId="22E7CC23" w14:textId="77777777" w:rsidR="00EB116A" w:rsidRDefault="00EB116A">
      <w:pPr>
        <w:pStyle w:val="BodyText"/>
        <w:rPr>
          <w:sz w:val="26"/>
        </w:rPr>
      </w:pPr>
    </w:p>
    <w:p w14:paraId="318F18C2" w14:textId="77777777" w:rsidR="00EB116A" w:rsidRDefault="00EB116A">
      <w:pPr>
        <w:pStyle w:val="BodyText"/>
        <w:rPr>
          <w:sz w:val="26"/>
        </w:rPr>
      </w:pPr>
    </w:p>
    <w:p w14:paraId="59B58D3D" w14:textId="77777777" w:rsidR="00EB116A" w:rsidRDefault="00EB116A">
      <w:pPr>
        <w:pStyle w:val="BodyText"/>
        <w:rPr>
          <w:sz w:val="26"/>
        </w:rPr>
      </w:pPr>
    </w:p>
    <w:p w14:paraId="24F830EF" w14:textId="77777777" w:rsidR="00EB116A" w:rsidRDefault="00EB116A">
      <w:pPr>
        <w:pStyle w:val="BodyText"/>
        <w:rPr>
          <w:sz w:val="26"/>
        </w:rPr>
      </w:pPr>
    </w:p>
    <w:p w14:paraId="6079F725" w14:textId="77777777" w:rsidR="006C0C7C" w:rsidRDefault="006C0C7C">
      <w:pPr>
        <w:pStyle w:val="BodyText"/>
        <w:rPr>
          <w:sz w:val="26"/>
        </w:rPr>
      </w:pPr>
    </w:p>
    <w:p w14:paraId="420B3ABB" w14:textId="77777777" w:rsidR="00FA50F2" w:rsidRDefault="00FA50F2">
      <w:pPr>
        <w:pStyle w:val="BodyText"/>
        <w:rPr>
          <w:sz w:val="26"/>
        </w:rPr>
      </w:pPr>
    </w:p>
    <w:p w14:paraId="43D8EE2D" w14:textId="77777777" w:rsidR="00FA50F2" w:rsidRDefault="00FA50F2">
      <w:pPr>
        <w:pStyle w:val="BodyText"/>
        <w:rPr>
          <w:sz w:val="26"/>
        </w:rPr>
      </w:pPr>
    </w:p>
    <w:p w14:paraId="743610CE" w14:textId="77777777" w:rsidR="00FA50F2" w:rsidRDefault="00FA50F2">
      <w:pPr>
        <w:pStyle w:val="BodyText"/>
        <w:rPr>
          <w:sz w:val="26"/>
        </w:rPr>
      </w:pPr>
    </w:p>
    <w:p w14:paraId="592FB495" w14:textId="77777777" w:rsidR="00FA50F2" w:rsidRDefault="00FA50F2">
      <w:pPr>
        <w:pStyle w:val="BodyText"/>
        <w:rPr>
          <w:sz w:val="26"/>
        </w:rPr>
      </w:pPr>
    </w:p>
    <w:p w14:paraId="162F9AD0" w14:textId="77777777" w:rsidR="00FA50F2" w:rsidRDefault="00FA50F2">
      <w:pPr>
        <w:pStyle w:val="BodyText"/>
        <w:rPr>
          <w:sz w:val="26"/>
        </w:rPr>
      </w:pPr>
    </w:p>
    <w:p w14:paraId="3B52D981" w14:textId="77777777" w:rsidR="00FA50F2" w:rsidRDefault="00FA50F2">
      <w:pPr>
        <w:pStyle w:val="BodyText"/>
        <w:rPr>
          <w:sz w:val="26"/>
        </w:rPr>
      </w:pPr>
    </w:p>
    <w:p w14:paraId="746F0FB0" w14:textId="77777777" w:rsidR="00FA50F2" w:rsidRDefault="00FA50F2">
      <w:pPr>
        <w:pStyle w:val="BodyText"/>
        <w:rPr>
          <w:sz w:val="26"/>
        </w:rPr>
      </w:pPr>
    </w:p>
    <w:p w14:paraId="63B9CD5E" w14:textId="77777777" w:rsidR="006C0C7C" w:rsidRDefault="006C0C7C">
      <w:pPr>
        <w:pStyle w:val="BodyText"/>
        <w:rPr>
          <w:sz w:val="26"/>
        </w:rPr>
      </w:pPr>
    </w:p>
    <w:p w14:paraId="6A0887DB" w14:textId="77777777" w:rsidR="006C0C7C" w:rsidRDefault="006C0C7C">
      <w:pPr>
        <w:pStyle w:val="BodyText"/>
        <w:spacing w:before="6"/>
        <w:rPr>
          <w:sz w:val="23"/>
        </w:rPr>
      </w:pPr>
    </w:p>
    <w:p w14:paraId="6450CE4C" w14:textId="77777777" w:rsidR="006C0C7C" w:rsidRDefault="005273D3">
      <w:pPr>
        <w:pStyle w:val="Heading1"/>
        <w:spacing w:line="451" w:lineRule="auto"/>
        <w:ind w:right="1546" w:firstLine="1324"/>
      </w:pPr>
      <w:r>
        <w:lastRenderedPageBreak/>
        <w:t>PART IV: PUBLIC HOUSING ASSISSMENT SYSTEM (PHAS) 16-IV.A. OVERVIEW</w:t>
      </w:r>
    </w:p>
    <w:p w14:paraId="0B072F7A" w14:textId="77777777" w:rsidR="006C0C7C" w:rsidRDefault="005273D3">
      <w:pPr>
        <w:pStyle w:val="BodyText"/>
        <w:spacing w:before="79" w:line="276" w:lineRule="auto"/>
        <w:ind w:left="220" w:right="149"/>
      </w:pPr>
      <w:r>
        <w:t>The purpose of the Public Housing Assessment System (PHAS) is to improve the delivery of services in public housing and enhance trust in the public housing system among PHAs, public housing residents, HUD and the general public by providing a management tool for effectively and fairly measuring the performance of a public housing agency in essential housing operations.</w:t>
      </w:r>
    </w:p>
    <w:p w14:paraId="2DB50415" w14:textId="77777777" w:rsidR="006C0C7C" w:rsidRDefault="005273D3">
      <w:pPr>
        <w:pStyle w:val="Heading1"/>
        <w:spacing w:before="200"/>
      </w:pPr>
      <w:r>
        <w:t>16-IV.B. PHAS INDICATORS [24 CFR 902 Subparts A, B, C, D, and E]</w:t>
      </w:r>
    </w:p>
    <w:p w14:paraId="146A6C47" w14:textId="77777777" w:rsidR="006C0C7C" w:rsidRDefault="006C0C7C">
      <w:pPr>
        <w:pStyle w:val="BodyText"/>
        <w:rPr>
          <w:b/>
          <w:sz w:val="21"/>
        </w:rPr>
      </w:pPr>
    </w:p>
    <w:p w14:paraId="51C8A0AE" w14:textId="77777777" w:rsidR="006C0C7C" w:rsidRDefault="005273D3">
      <w:pPr>
        <w:pStyle w:val="BodyText"/>
        <w:spacing w:line="276" w:lineRule="auto"/>
        <w:ind w:left="220" w:right="215"/>
      </w:pPr>
      <w:r>
        <w:t>The table below lists each of the PHAS indicators, the points possible under each indicator, and a brief description of each indicator. A PHA’s performance is based on a combination of all four indicators.</w:t>
      </w:r>
    </w:p>
    <w:p w14:paraId="18C91897" w14:textId="77777777" w:rsidR="006C0C7C" w:rsidRDefault="00027397">
      <w:pPr>
        <w:pStyle w:val="BodyText"/>
        <w:spacing w:before="1"/>
        <w:rPr>
          <w:sz w:val="14"/>
        </w:rPr>
      </w:pPr>
      <w:r>
        <w:pict w14:anchorId="5CFA8E2F">
          <v:shapetype id="_x0000_t202" coordsize="21600,21600" o:spt="202" path="m,l,21600r21600,l21600,xe">
            <v:stroke joinstyle="miter"/>
            <v:path gradientshapeok="t" o:connecttype="rect"/>
          </v:shapetype>
          <v:shape id="_x0000_s1030" type="#_x0000_t202" style="position:absolute;margin-left:66.35pt;margin-top:10.3pt;width:479.4pt;height:30.15pt;z-index:251655680;mso-wrap-distance-left:0;mso-wrap-distance-right:0;mso-position-horizontal-relative:page" filled="f" strokeweight=".48pt">
            <v:textbox inset="0,0,0,0">
              <w:txbxContent>
                <w:p w14:paraId="493F4CE8" w14:textId="77777777" w:rsidR="00610E4C" w:rsidRDefault="00610E4C">
                  <w:pPr>
                    <w:spacing w:before="18"/>
                    <w:ind w:left="108" w:right="4040"/>
                    <w:rPr>
                      <w:b/>
                      <w:sz w:val="24"/>
                    </w:rPr>
                  </w:pPr>
                  <w:r>
                    <w:rPr>
                      <w:b/>
                      <w:sz w:val="24"/>
                    </w:rPr>
                    <w:t>Indicator 1: Physical condition of the PHA’s projects Maximum Score: 40</w:t>
                  </w:r>
                </w:p>
              </w:txbxContent>
            </v:textbox>
            <w10:wrap type="topAndBottom" anchorx="page"/>
          </v:shape>
        </w:pict>
      </w:r>
    </w:p>
    <w:p w14:paraId="75C1297A" w14:textId="77777777" w:rsidR="006C0C7C" w:rsidRDefault="006C0C7C">
      <w:pPr>
        <w:pStyle w:val="BodyText"/>
        <w:spacing w:before="6"/>
        <w:rPr>
          <w:sz w:val="13"/>
        </w:rPr>
      </w:pPr>
    </w:p>
    <w:p w14:paraId="0E61183F" w14:textId="77777777" w:rsidR="006C0C7C" w:rsidRDefault="005273D3">
      <w:pPr>
        <w:pStyle w:val="BodyText"/>
        <w:spacing w:before="90" w:line="276" w:lineRule="auto"/>
        <w:ind w:left="220" w:right="260"/>
      </w:pPr>
      <w:r>
        <w:t>The objective of this indicator is to determine the level to which a PHA is maintaining its public housing in accordance with the standard of decent, safe, sanitary, and in good repair.</w:t>
      </w:r>
    </w:p>
    <w:p w14:paraId="3DEBE428" w14:textId="77777777" w:rsidR="006C0C7C" w:rsidRDefault="005273D3">
      <w:pPr>
        <w:pStyle w:val="BodyText"/>
        <w:spacing w:before="201" w:line="276" w:lineRule="auto"/>
        <w:ind w:left="220" w:right="149"/>
      </w:pPr>
      <w:r>
        <w:t>To determine the physical condition of a PHA’s projects, inspections are performed of the following five major areas of each public housing project: side, building exterior, building systems, dwelling units, and common areas. The inspections are performed by an independent inspector arranged by HUD</w:t>
      </w:r>
      <w:r w:rsidR="00EB116A">
        <w:t xml:space="preserve"> </w:t>
      </w:r>
      <w:r>
        <w:t>and include a statistically valid sample of the units in each project in the PHA’s public housing portfolio.</w:t>
      </w:r>
    </w:p>
    <w:p w14:paraId="1D9CA002" w14:textId="77777777" w:rsidR="006C0C7C" w:rsidRDefault="00027397">
      <w:pPr>
        <w:pStyle w:val="BodyText"/>
        <w:spacing w:before="10"/>
        <w:rPr>
          <w:sz w:val="13"/>
        </w:rPr>
      </w:pPr>
      <w:r>
        <w:pict w14:anchorId="132D997D">
          <v:shape id="_x0000_s1029" type="#_x0000_t202" style="position:absolute;margin-left:66.35pt;margin-top:10.2pt;width:479.4pt;height:30.15pt;z-index:251656704;mso-wrap-distance-left:0;mso-wrap-distance-right:0;mso-position-horizontal-relative:page" filled="f" strokeweight=".48pt">
            <v:textbox inset="0,0,0,0">
              <w:txbxContent>
                <w:p w14:paraId="00AE9145" w14:textId="77777777" w:rsidR="00610E4C" w:rsidRDefault="00610E4C">
                  <w:pPr>
                    <w:spacing w:before="18" w:line="242" w:lineRule="auto"/>
                    <w:ind w:left="108" w:right="3933"/>
                    <w:rPr>
                      <w:b/>
                      <w:sz w:val="24"/>
                    </w:rPr>
                  </w:pPr>
                  <w:r>
                    <w:rPr>
                      <w:b/>
                      <w:sz w:val="24"/>
                    </w:rPr>
                    <w:t>Indicator 2: Financial condition of the PHA’s projects Maximum Score: 25</w:t>
                  </w:r>
                </w:p>
              </w:txbxContent>
            </v:textbox>
            <w10:wrap type="topAndBottom" anchorx="page"/>
          </v:shape>
        </w:pict>
      </w:r>
    </w:p>
    <w:p w14:paraId="1CB33F86" w14:textId="77777777" w:rsidR="006C0C7C" w:rsidRDefault="006C0C7C">
      <w:pPr>
        <w:pStyle w:val="BodyText"/>
        <w:spacing w:before="6"/>
        <w:rPr>
          <w:sz w:val="13"/>
        </w:rPr>
      </w:pPr>
    </w:p>
    <w:p w14:paraId="2398C682" w14:textId="77777777" w:rsidR="006C0C7C" w:rsidRDefault="005273D3">
      <w:pPr>
        <w:pStyle w:val="BodyText"/>
        <w:spacing w:before="90" w:line="276" w:lineRule="auto"/>
        <w:ind w:left="220" w:right="230"/>
      </w:pPr>
      <w:r>
        <w:t>The objective of this indicator is to measure the financial condition of the PHA’s public housing projects for the purpose of evaluating whether the PHA has sufficient financial resources and can manage those financial resources effectively to support the provision of housing that is decent, safe, sanitary, and in good repair.</w:t>
      </w:r>
    </w:p>
    <w:p w14:paraId="37042000" w14:textId="77777777" w:rsidR="006C0C7C" w:rsidRDefault="005273D3">
      <w:pPr>
        <w:pStyle w:val="BodyText"/>
        <w:spacing w:before="199" w:line="276" w:lineRule="auto"/>
        <w:ind w:left="220" w:right="327"/>
      </w:pPr>
      <w:r>
        <w:t>A PHA’s financial condition is determined by measuring each public housing project’s performance in each of the following sub</w:t>
      </w:r>
      <w:r w:rsidR="00EB116A">
        <w:t>-</w:t>
      </w:r>
      <w:r>
        <w:t>indicators: quick ratio, months expendable net assets ratio, and debt service coverage ratio.</w:t>
      </w:r>
    </w:p>
    <w:p w14:paraId="344C7160" w14:textId="77777777" w:rsidR="006C0C7C" w:rsidRDefault="006C0C7C">
      <w:pPr>
        <w:pStyle w:val="BodyText"/>
        <w:rPr>
          <w:sz w:val="20"/>
        </w:rPr>
      </w:pPr>
    </w:p>
    <w:p w14:paraId="73A62D63" w14:textId="77777777" w:rsidR="006C0C7C" w:rsidRDefault="006C0C7C">
      <w:pPr>
        <w:pStyle w:val="BodyText"/>
        <w:rPr>
          <w:sz w:val="20"/>
        </w:rPr>
      </w:pPr>
    </w:p>
    <w:p w14:paraId="4928340A" w14:textId="77777777" w:rsidR="006C0C7C" w:rsidRDefault="006C0C7C">
      <w:pPr>
        <w:pStyle w:val="BodyText"/>
        <w:rPr>
          <w:sz w:val="20"/>
        </w:rPr>
      </w:pPr>
    </w:p>
    <w:p w14:paraId="26612DE3" w14:textId="77777777" w:rsidR="00EB116A" w:rsidRDefault="00EB116A">
      <w:pPr>
        <w:pStyle w:val="BodyText"/>
        <w:rPr>
          <w:sz w:val="20"/>
        </w:rPr>
      </w:pPr>
    </w:p>
    <w:p w14:paraId="792A3787" w14:textId="77777777" w:rsidR="00EB116A" w:rsidRDefault="00EB116A">
      <w:pPr>
        <w:pStyle w:val="BodyText"/>
        <w:rPr>
          <w:sz w:val="20"/>
        </w:rPr>
      </w:pPr>
    </w:p>
    <w:p w14:paraId="63A11C9E" w14:textId="77777777" w:rsidR="00EB116A" w:rsidRDefault="00EB116A">
      <w:pPr>
        <w:pStyle w:val="BodyText"/>
        <w:rPr>
          <w:sz w:val="20"/>
        </w:rPr>
      </w:pPr>
    </w:p>
    <w:p w14:paraId="36D3CCDD" w14:textId="77777777" w:rsidR="00EB116A" w:rsidRDefault="00EB116A">
      <w:pPr>
        <w:pStyle w:val="BodyText"/>
        <w:rPr>
          <w:sz w:val="20"/>
        </w:rPr>
      </w:pPr>
    </w:p>
    <w:p w14:paraId="76671099" w14:textId="77777777" w:rsidR="006C0C7C" w:rsidRDefault="006C0C7C">
      <w:pPr>
        <w:pStyle w:val="BodyText"/>
        <w:rPr>
          <w:sz w:val="20"/>
        </w:rPr>
      </w:pPr>
    </w:p>
    <w:p w14:paraId="6AF4C75F" w14:textId="77777777" w:rsidR="006C0C7C" w:rsidRDefault="006C0C7C">
      <w:pPr>
        <w:pStyle w:val="BodyText"/>
        <w:rPr>
          <w:sz w:val="20"/>
        </w:rPr>
      </w:pPr>
    </w:p>
    <w:p w14:paraId="4B918936" w14:textId="77777777" w:rsidR="006C0C7C" w:rsidRDefault="006C0C7C">
      <w:pPr>
        <w:pStyle w:val="BodyText"/>
        <w:rPr>
          <w:sz w:val="20"/>
        </w:rPr>
      </w:pPr>
    </w:p>
    <w:p w14:paraId="2949C6A4" w14:textId="77777777" w:rsidR="00EB116A" w:rsidRDefault="00027397" w:rsidP="00EB116A">
      <w:pPr>
        <w:pStyle w:val="BodyText"/>
        <w:spacing w:before="2"/>
        <w:rPr>
          <w:sz w:val="29"/>
        </w:rPr>
      </w:pPr>
      <w:r>
        <w:lastRenderedPageBreak/>
        <w:pict w14:anchorId="5765FFEA">
          <v:shape id="_x0000_s1028" type="#_x0000_t202" style="position:absolute;margin-left:66.35pt;margin-top:19pt;width:479.4pt;height:30.15pt;z-index:251657728;mso-wrap-distance-left:0;mso-wrap-distance-right:0;mso-position-horizontal-relative:page" filled="f" strokeweight=".48pt">
            <v:textbox inset="0,0,0,0">
              <w:txbxContent>
                <w:p w14:paraId="78FEEB4F" w14:textId="77777777" w:rsidR="00610E4C" w:rsidRDefault="00610E4C">
                  <w:pPr>
                    <w:spacing w:before="18" w:line="242" w:lineRule="auto"/>
                    <w:ind w:left="108" w:right="3427"/>
                    <w:rPr>
                      <w:b/>
                      <w:sz w:val="24"/>
                    </w:rPr>
                  </w:pPr>
                  <w:r>
                    <w:rPr>
                      <w:b/>
                      <w:sz w:val="24"/>
                    </w:rPr>
                    <w:t>Indicator 3: Management operations of the PHA’s projects Maximum Score: 25</w:t>
                  </w:r>
                </w:p>
              </w:txbxContent>
            </v:textbox>
            <w10:wrap type="topAndBottom" anchorx="page"/>
          </v:shape>
        </w:pict>
      </w:r>
      <w:r w:rsidR="00EB116A">
        <w:rPr>
          <w:sz w:val="29"/>
        </w:rPr>
        <w:t xml:space="preserve"> </w:t>
      </w:r>
    </w:p>
    <w:p w14:paraId="0E565C3F" w14:textId="77777777" w:rsidR="00EB116A" w:rsidRDefault="00EB116A" w:rsidP="00EB116A">
      <w:pPr>
        <w:pStyle w:val="BodyText"/>
        <w:spacing w:before="2"/>
      </w:pPr>
    </w:p>
    <w:p w14:paraId="221D881F" w14:textId="77777777" w:rsidR="006C0C7C" w:rsidRDefault="005273D3" w:rsidP="00EB116A">
      <w:pPr>
        <w:pStyle w:val="BodyText"/>
        <w:spacing w:before="2"/>
        <w:ind w:left="220"/>
      </w:pPr>
      <w:r>
        <w:t>The objective of this indicator is to measure certain key management operations and responsibilities of a PHA’s project for the purpose of assessing the PHA’s management operations capabilities.</w:t>
      </w:r>
    </w:p>
    <w:p w14:paraId="61FBDFAE" w14:textId="77777777" w:rsidR="006C0C7C" w:rsidRDefault="005273D3">
      <w:pPr>
        <w:pStyle w:val="BodyText"/>
        <w:spacing w:before="200" w:line="276" w:lineRule="auto"/>
        <w:ind w:left="220" w:right="723"/>
      </w:pPr>
      <w:r>
        <w:t>Each project’s management operations are assessed based on the following sub</w:t>
      </w:r>
      <w:r w:rsidR="00EB116A">
        <w:t>-</w:t>
      </w:r>
      <w:r>
        <w:t>indicators: occupancy, tenant accounts receivable, and accounts payable.</w:t>
      </w:r>
    </w:p>
    <w:p w14:paraId="16C10EEC" w14:textId="77777777" w:rsidR="006C0C7C" w:rsidRDefault="005273D3">
      <w:pPr>
        <w:pStyle w:val="BodyText"/>
        <w:spacing w:before="201" w:line="276" w:lineRule="auto"/>
        <w:ind w:left="220" w:right="327"/>
      </w:pPr>
      <w:r>
        <w:t>An onsite management review may be conducted as a diagnostic and feedback tool for problem performance areas, and for compliance. Management reviews are not scored.</w:t>
      </w:r>
    </w:p>
    <w:p w14:paraId="07663F1E" w14:textId="77777777" w:rsidR="006C0C7C" w:rsidRDefault="00027397">
      <w:pPr>
        <w:pStyle w:val="BodyText"/>
        <w:spacing w:before="1"/>
        <w:rPr>
          <w:sz w:val="14"/>
        </w:rPr>
      </w:pPr>
      <w:r>
        <w:pict w14:anchorId="7F1793FD">
          <v:shape id="_x0000_s1027" type="#_x0000_t202" style="position:absolute;margin-left:66.35pt;margin-top:10.3pt;width:479.4pt;height:30.15pt;z-index:251658752;mso-wrap-distance-left:0;mso-wrap-distance-right:0;mso-position-horizontal-relative:page" filled="f" strokeweight=".48pt">
            <v:textbox inset="0,0,0,0">
              <w:txbxContent>
                <w:p w14:paraId="2C6227DF" w14:textId="77777777" w:rsidR="00610E4C" w:rsidRDefault="00610E4C">
                  <w:pPr>
                    <w:spacing w:before="18"/>
                    <w:ind w:left="108" w:right="6812"/>
                    <w:rPr>
                      <w:b/>
                      <w:sz w:val="24"/>
                    </w:rPr>
                  </w:pPr>
                  <w:r>
                    <w:rPr>
                      <w:b/>
                      <w:sz w:val="24"/>
                    </w:rPr>
                    <w:t>Indicator 4: Capital Fund Maximum Score: 10</w:t>
                  </w:r>
                </w:p>
              </w:txbxContent>
            </v:textbox>
            <w10:wrap type="topAndBottom" anchorx="page"/>
          </v:shape>
        </w:pict>
      </w:r>
    </w:p>
    <w:p w14:paraId="78900B08" w14:textId="77777777" w:rsidR="006C0C7C" w:rsidRDefault="006C0C7C">
      <w:pPr>
        <w:pStyle w:val="BodyText"/>
        <w:spacing w:before="7"/>
        <w:rPr>
          <w:sz w:val="13"/>
        </w:rPr>
      </w:pPr>
    </w:p>
    <w:p w14:paraId="49042765" w14:textId="77777777" w:rsidR="006C0C7C" w:rsidRDefault="005273D3">
      <w:pPr>
        <w:pStyle w:val="BodyText"/>
        <w:spacing w:before="90" w:line="276" w:lineRule="auto"/>
        <w:ind w:left="220" w:right="327"/>
      </w:pPr>
      <w:r>
        <w:t>The objective of this indicator is to measure how long it takes the PHA to obligate capital funds and to occupy units.</w:t>
      </w:r>
    </w:p>
    <w:p w14:paraId="3F682056" w14:textId="77777777" w:rsidR="006C0C7C" w:rsidRDefault="005273D3">
      <w:pPr>
        <w:pStyle w:val="BodyText"/>
        <w:spacing w:before="198" w:line="278" w:lineRule="auto"/>
        <w:ind w:left="220" w:right="515"/>
      </w:pPr>
      <w:r>
        <w:t>The PHA’s score for this indicator is measured at the PHA level and is based on the following sub</w:t>
      </w:r>
      <w:r w:rsidR="00EB116A">
        <w:t>-</w:t>
      </w:r>
      <w:r>
        <w:t>indicators: timeliness of fund obligation and occupancy rate.</w:t>
      </w:r>
    </w:p>
    <w:p w14:paraId="18AD6A7F" w14:textId="77777777" w:rsidR="006C0C7C" w:rsidRDefault="005273D3">
      <w:pPr>
        <w:pStyle w:val="Heading1"/>
        <w:spacing w:before="195"/>
      </w:pPr>
      <w:r>
        <w:t>16-IV.C. PHAS SCORING [24 CFR 902 Subpart F]</w:t>
      </w:r>
    </w:p>
    <w:p w14:paraId="4FDB4927" w14:textId="77777777" w:rsidR="006C0C7C" w:rsidRDefault="006C0C7C">
      <w:pPr>
        <w:pStyle w:val="BodyText"/>
        <w:rPr>
          <w:b/>
          <w:sz w:val="21"/>
        </w:rPr>
      </w:pPr>
    </w:p>
    <w:p w14:paraId="2A922DCB" w14:textId="77777777" w:rsidR="006C0C7C" w:rsidRDefault="005273D3">
      <w:pPr>
        <w:pStyle w:val="BodyText"/>
        <w:spacing w:before="1" w:line="276" w:lineRule="auto"/>
        <w:ind w:left="220" w:right="260"/>
      </w:pPr>
      <w:r>
        <w:t>HUD’s Real Estate Assessment Center (REAC) issues overall PHAS scores, which are based on the scores of the four PHAS indicators, and the sub</w:t>
      </w:r>
      <w:r w:rsidR="00EB116A">
        <w:t>-</w:t>
      </w:r>
      <w:r>
        <w:t>indicators under each indicator. The PHA’s</w:t>
      </w:r>
    </w:p>
    <w:p w14:paraId="44F3894E" w14:textId="77777777" w:rsidR="006C0C7C" w:rsidRDefault="005273D3">
      <w:pPr>
        <w:pStyle w:val="BodyText"/>
        <w:spacing w:line="276" w:lineRule="auto"/>
        <w:ind w:left="220" w:right="327"/>
      </w:pPr>
      <w:r>
        <w:t>indicator scores are based on a weighted average of the PHA’s public housing projects’ scores. PHAS scores translate into a designation for each PHA as high performing, standard, substandard, or troubled.</w:t>
      </w:r>
    </w:p>
    <w:p w14:paraId="4DE756E4" w14:textId="77777777" w:rsidR="006C0C7C" w:rsidRDefault="005273D3">
      <w:pPr>
        <w:pStyle w:val="BodyText"/>
        <w:spacing w:before="199" w:line="276" w:lineRule="auto"/>
        <w:ind w:left="220" w:right="294"/>
        <w:jc w:val="both"/>
      </w:pPr>
      <w:r>
        <w:t xml:space="preserve">A </w:t>
      </w:r>
      <w:r>
        <w:rPr>
          <w:i/>
        </w:rPr>
        <w:t xml:space="preserve">high performer </w:t>
      </w:r>
      <w:r>
        <w:t>is a PHA that achieves an overall PHAS score of 90 or greater and achieves a score of at least 60 percent of the points available under the physical, financial, and management indicators at least 50 percent of the points available under the capital fund indicator.</w:t>
      </w:r>
    </w:p>
    <w:p w14:paraId="3EFD55B3" w14:textId="77777777" w:rsidR="006C0C7C" w:rsidRDefault="005273D3">
      <w:pPr>
        <w:pStyle w:val="BodyText"/>
        <w:spacing w:before="200" w:line="276" w:lineRule="auto"/>
        <w:ind w:left="220" w:right="219"/>
      </w:pPr>
      <w:r>
        <w:t xml:space="preserve">A </w:t>
      </w:r>
      <w:r>
        <w:rPr>
          <w:i/>
        </w:rPr>
        <w:t xml:space="preserve">standard performer </w:t>
      </w:r>
      <w:r>
        <w:t>is a PHA that has an overall PHAS score between 60 and 89 and achieves a score of at least 60 percent of the points available under the physical, financial, and management indicators and at least 50 percent of the points available under the capital fund indicator.</w:t>
      </w:r>
    </w:p>
    <w:p w14:paraId="17CD8AF2" w14:textId="77777777" w:rsidR="006C0C7C" w:rsidRDefault="005273D3">
      <w:pPr>
        <w:pStyle w:val="BodyText"/>
        <w:spacing w:before="201" w:line="276" w:lineRule="auto"/>
        <w:ind w:left="220" w:right="327"/>
      </w:pPr>
      <w:r>
        <w:t xml:space="preserve">A </w:t>
      </w:r>
      <w:r>
        <w:rPr>
          <w:i/>
        </w:rPr>
        <w:t xml:space="preserve">substandard performer </w:t>
      </w:r>
      <w:r>
        <w:t>is a PHA that has an overall PHAS score of at least 60 percent and achieves a score of less than 60 percent under one or more of the physical, financial, or management indicators.</w:t>
      </w:r>
    </w:p>
    <w:p w14:paraId="4358345D" w14:textId="77777777" w:rsidR="006C0C7C" w:rsidRDefault="005273D3">
      <w:pPr>
        <w:pStyle w:val="BodyText"/>
        <w:spacing w:before="201" w:line="276" w:lineRule="auto"/>
        <w:ind w:left="220" w:right="335"/>
      </w:pPr>
      <w:r>
        <w:t xml:space="preserve">A </w:t>
      </w:r>
      <w:r>
        <w:rPr>
          <w:i/>
        </w:rPr>
        <w:t xml:space="preserve">troubled performer </w:t>
      </w:r>
      <w:r>
        <w:t>is a PHA that achieves an overall PHAS score of less than 60 or achieves less than 50 percent of the total points available under the capital fund indicator.</w:t>
      </w:r>
    </w:p>
    <w:p w14:paraId="29DDB472" w14:textId="77777777" w:rsidR="006C0C7C" w:rsidRDefault="005273D3">
      <w:pPr>
        <w:pStyle w:val="BodyText"/>
        <w:spacing w:before="200"/>
        <w:ind w:left="220"/>
      </w:pPr>
      <w:r>
        <w:lastRenderedPageBreak/>
        <w:t>These designations can affect a PHA in several ways:</w:t>
      </w:r>
    </w:p>
    <w:p w14:paraId="39603907" w14:textId="77777777" w:rsidR="006C0C7C" w:rsidRDefault="005273D3">
      <w:pPr>
        <w:pStyle w:val="ListParagraph"/>
        <w:numPr>
          <w:ilvl w:val="1"/>
          <w:numId w:val="5"/>
        </w:numPr>
        <w:tabs>
          <w:tab w:val="left" w:pos="940"/>
          <w:tab w:val="left" w:pos="941"/>
        </w:tabs>
        <w:spacing w:before="81" w:line="271" w:lineRule="auto"/>
        <w:ind w:right="655"/>
        <w:rPr>
          <w:sz w:val="24"/>
        </w:rPr>
      </w:pPr>
      <w:r>
        <w:rPr>
          <w:sz w:val="24"/>
        </w:rPr>
        <w:t>High performing PHAs are eligible for incentives including relief from specific</w:t>
      </w:r>
      <w:r>
        <w:rPr>
          <w:spacing w:val="-15"/>
          <w:sz w:val="24"/>
        </w:rPr>
        <w:t xml:space="preserve"> </w:t>
      </w:r>
      <w:r>
        <w:rPr>
          <w:sz w:val="24"/>
        </w:rPr>
        <w:t>HUD requirements and bonus points in funding competitions [24 CFR</w:t>
      </w:r>
      <w:r>
        <w:rPr>
          <w:spacing w:val="-4"/>
          <w:sz w:val="24"/>
        </w:rPr>
        <w:t xml:space="preserve"> </w:t>
      </w:r>
      <w:r>
        <w:rPr>
          <w:sz w:val="24"/>
        </w:rPr>
        <w:t>902.71].</w:t>
      </w:r>
    </w:p>
    <w:p w14:paraId="3B78A38D" w14:textId="77777777" w:rsidR="006C0C7C" w:rsidRDefault="005273D3">
      <w:pPr>
        <w:pStyle w:val="ListParagraph"/>
        <w:numPr>
          <w:ilvl w:val="1"/>
          <w:numId w:val="5"/>
        </w:numPr>
        <w:tabs>
          <w:tab w:val="left" w:pos="941"/>
        </w:tabs>
        <w:spacing w:before="9" w:line="273" w:lineRule="auto"/>
        <w:ind w:right="898"/>
        <w:jc w:val="both"/>
        <w:rPr>
          <w:sz w:val="24"/>
        </w:rPr>
      </w:pPr>
      <w:r>
        <w:rPr>
          <w:sz w:val="24"/>
        </w:rPr>
        <w:t>PHAS that are standard performers may be required to submit and operate under a corrective action plan to eliminate deficiencies in the PHA’s performance [24</w:t>
      </w:r>
      <w:r>
        <w:rPr>
          <w:spacing w:val="-19"/>
          <w:sz w:val="24"/>
        </w:rPr>
        <w:t xml:space="preserve"> </w:t>
      </w:r>
      <w:r>
        <w:rPr>
          <w:sz w:val="24"/>
        </w:rPr>
        <w:t>CFR 902.73(a)(1)].</w:t>
      </w:r>
    </w:p>
    <w:p w14:paraId="1E27222E" w14:textId="77777777" w:rsidR="006C0C7C" w:rsidRDefault="005273D3">
      <w:pPr>
        <w:pStyle w:val="ListParagraph"/>
        <w:numPr>
          <w:ilvl w:val="1"/>
          <w:numId w:val="5"/>
        </w:numPr>
        <w:tabs>
          <w:tab w:val="left" w:pos="940"/>
          <w:tab w:val="left" w:pos="941"/>
        </w:tabs>
        <w:spacing w:before="5" w:line="273" w:lineRule="auto"/>
        <w:ind w:right="710"/>
        <w:rPr>
          <w:sz w:val="24"/>
        </w:rPr>
      </w:pPr>
      <w:r>
        <w:rPr>
          <w:sz w:val="24"/>
        </w:rPr>
        <w:t>PHAs that are substandard performers will be required to submit and operate under</w:t>
      </w:r>
      <w:r>
        <w:rPr>
          <w:spacing w:val="-15"/>
          <w:sz w:val="24"/>
        </w:rPr>
        <w:t xml:space="preserve"> </w:t>
      </w:r>
      <w:r>
        <w:rPr>
          <w:sz w:val="24"/>
        </w:rPr>
        <w:t>a corrective action plan to eliminate deficiencies in the PHA’s performance [24 CFR 902.73(a)(2)]</w:t>
      </w:r>
    </w:p>
    <w:p w14:paraId="5E56FCE6" w14:textId="77777777" w:rsidR="006C0C7C" w:rsidRDefault="005273D3">
      <w:pPr>
        <w:pStyle w:val="ListParagraph"/>
        <w:numPr>
          <w:ilvl w:val="1"/>
          <w:numId w:val="5"/>
        </w:numPr>
        <w:tabs>
          <w:tab w:val="left" w:pos="940"/>
          <w:tab w:val="left" w:pos="941"/>
        </w:tabs>
        <w:spacing w:before="3" w:line="273" w:lineRule="auto"/>
        <w:ind w:right="474"/>
        <w:rPr>
          <w:sz w:val="24"/>
        </w:rPr>
      </w:pPr>
      <w:r>
        <w:rPr>
          <w:sz w:val="24"/>
        </w:rPr>
        <w:t>PHAs with an overall rating of “troubled” are subject to additional HUD oversight,</w:t>
      </w:r>
      <w:r>
        <w:rPr>
          <w:spacing w:val="-21"/>
          <w:sz w:val="24"/>
        </w:rPr>
        <w:t xml:space="preserve"> </w:t>
      </w:r>
      <w:r>
        <w:rPr>
          <w:sz w:val="24"/>
        </w:rPr>
        <w:t>and are required to enter into a memorandum of agreement (MOA) with HUD to improve PHA performance [24 CFR</w:t>
      </w:r>
      <w:r>
        <w:rPr>
          <w:spacing w:val="-3"/>
          <w:sz w:val="24"/>
        </w:rPr>
        <w:t xml:space="preserve"> </w:t>
      </w:r>
      <w:r>
        <w:rPr>
          <w:sz w:val="24"/>
        </w:rPr>
        <w:t>902.75].</w:t>
      </w:r>
    </w:p>
    <w:p w14:paraId="4A30FA9E" w14:textId="77777777" w:rsidR="006C0C7C" w:rsidRDefault="005273D3">
      <w:pPr>
        <w:pStyle w:val="ListParagraph"/>
        <w:numPr>
          <w:ilvl w:val="1"/>
          <w:numId w:val="5"/>
        </w:numPr>
        <w:tabs>
          <w:tab w:val="left" w:pos="940"/>
          <w:tab w:val="left" w:pos="941"/>
        </w:tabs>
        <w:spacing w:before="6" w:line="273" w:lineRule="auto"/>
        <w:ind w:right="388"/>
        <w:rPr>
          <w:sz w:val="24"/>
        </w:rPr>
      </w:pPr>
      <w:r>
        <w:rPr>
          <w:sz w:val="24"/>
        </w:rPr>
        <w:t>PHAs that fail to execute or meet MOA requirements may be referred to the Assistant Secretary to determine remedial actions, including but not limited to, remedies</w:t>
      </w:r>
      <w:r>
        <w:rPr>
          <w:spacing w:val="-12"/>
          <w:sz w:val="24"/>
        </w:rPr>
        <w:t xml:space="preserve"> </w:t>
      </w:r>
      <w:r>
        <w:rPr>
          <w:sz w:val="24"/>
        </w:rPr>
        <w:t>available for substantial default [24 CFR 902.75(g) and 24 CFR Part</w:t>
      </w:r>
      <w:r>
        <w:rPr>
          <w:spacing w:val="-3"/>
          <w:sz w:val="24"/>
        </w:rPr>
        <w:t xml:space="preserve"> </w:t>
      </w:r>
      <w:r>
        <w:rPr>
          <w:sz w:val="24"/>
        </w:rPr>
        <w:t>907].</w:t>
      </w:r>
    </w:p>
    <w:p w14:paraId="540B4AED" w14:textId="77777777" w:rsidR="006C0C7C" w:rsidRDefault="005273D3">
      <w:pPr>
        <w:pStyle w:val="BodyText"/>
        <w:spacing w:before="204" w:line="276" w:lineRule="auto"/>
        <w:ind w:left="220" w:right="502"/>
      </w:pPr>
      <w:r>
        <w:t>PHAs must post a notice of its final PHAS score and status in appropriate conspicuous and accessible locations in its offices within two weeks or receipt of its final score and designation [24 CFR 902.64(b)(2)].</w:t>
      </w:r>
    </w:p>
    <w:p w14:paraId="50464388" w14:textId="77777777" w:rsidR="006C0C7C" w:rsidRDefault="006C0C7C">
      <w:pPr>
        <w:pStyle w:val="BodyText"/>
        <w:rPr>
          <w:sz w:val="26"/>
        </w:rPr>
      </w:pPr>
    </w:p>
    <w:p w14:paraId="3299A5A7" w14:textId="77777777" w:rsidR="006C0C7C" w:rsidRDefault="006C0C7C">
      <w:pPr>
        <w:pStyle w:val="BodyText"/>
        <w:rPr>
          <w:sz w:val="26"/>
        </w:rPr>
      </w:pPr>
    </w:p>
    <w:p w14:paraId="4B74CB10" w14:textId="77777777" w:rsidR="006C0C7C" w:rsidRDefault="006C0C7C">
      <w:pPr>
        <w:pStyle w:val="BodyText"/>
        <w:rPr>
          <w:sz w:val="26"/>
        </w:rPr>
      </w:pPr>
    </w:p>
    <w:p w14:paraId="5A9F0505" w14:textId="77777777" w:rsidR="006C0C7C" w:rsidRDefault="006C0C7C">
      <w:pPr>
        <w:pStyle w:val="BodyText"/>
        <w:rPr>
          <w:sz w:val="26"/>
        </w:rPr>
      </w:pPr>
    </w:p>
    <w:p w14:paraId="21907359" w14:textId="77777777" w:rsidR="006C0C7C" w:rsidRDefault="006C0C7C">
      <w:pPr>
        <w:pStyle w:val="BodyText"/>
        <w:rPr>
          <w:sz w:val="26"/>
        </w:rPr>
      </w:pPr>
    </w:p>
    <w:p w14:paraId="3DA5F1B4" w14:textId="77777777" w:rsidR="006C0C7C" w:rsidRDefault="006C0C7C">
      <w:pPr>
        <w:pStyle w:val="BodyText"/>
        <w:rPr>
          <w:sz w:val="26"/>
        </w:rPr>
      </w:pPr>
    </w:p>
    <w:p w14:paraId="22364E19" w14:textId="77777777" w:rsidR="006C0C7C" w:rsidRDefault="006C0C7C">
      <w:pPr>
        <w:pStyle w:val="BodyText"/>
        <w:rPr>
          <w:sz w:val="26"/>
        </w:rPr>
      </w:pPr>
    </w:p>
    <w:p w14:paraId="185EE868" w14:textId="77777777" w:rsidR="006C0C7C" w:rsidRDefault="006C0C7C">
      <w:pPr>
        <w:pStyle w:val="BodyText"/>
        <w:rPr>
          <w:sz w:val="26"/>
        </w:rPr>
      </w:pPr>
    </w:p>
    <w:p w14:paraId="0C0690A9" w14:textId="77777777" w:rsidR="006C0C7C" w:rsidRDefault="006C0C7C">
      <w:pPr>
        <w:pStyle w:val="BodyText"/>
        <w:rPr>
          <w:sz w:val="26"/>
        </w:rPr>
      </w:pPr>
    </w:p>
    <w:p w14:paraId="72E863AE" w14:textId="77777777" w:rsidR="006C0C7C" w:rsidRDefault="006C0C7C">
      <w:pPr>
        <w:pStyle w:val="BodyText"/>
        <w:rPr>
          <w:sz w:val="26"/>
        </w:rPr>
      </w:pPr>
    </w:p>
    <w:p w14:paraId="58450491" w14:textId="77777777" w:rsidR="006C0C7C" w:rsidRDefault="006C0C7C">
      <w:pPr>
        <w:pStyle w:val="BodyText"/>
        <w:rPr>
          <w:sz w:val="26"/>
        </w:rPr>
      </w:pPr>
    </w:p>
    <w:p w14:paraId="6ACD2057" w14:textId="77777777" w:rsidR="006C0C7C" w:rsidRDefault="006C0C7C">
      <w:pPr>
        <w:pStyle w:val="BodyText"/>
        <w:rPr>
          <w:sz w:val="26"/>
        </w:rPr>
      </w:pPr>
    </w:p>
    <w:p w14:paraId="5A5E9880" w14:textId="77777777" w:rsidR="006C0C7C" w:rsidRDefault="006C0C7C">
      <w:pPr>
        <w:pStyle w:val="BodyText"/>
        <w:rPr>
          <w:sz w:val="26"/>
        </w:rPr>
      </w:pPr>
    </w:p>
    <w:p w14:paraId="7A0D39BE" w14:textId="77777777" w:rsidR="006C0C7C" w:rsidRDefault="006C0C7C">
      <w:pPr>
        <w:pStyle w:val="BodyText"/>
        <w:rPr>
          <w:sz w:val="26"/>
        </w:rPr>
      </w:pPr>
    </w:p>
    <w:p w14:paraId="686D26A8" w14:textId="77777777" w:rsidR="006C0C7C" w:rsidRDefault="006C0C7C">
      <w:pPr>
        <w:pStyle w:val="BodyText"/>
        <w:rPr>
          <w:sz w:val="26"/>
        </w:rPr>
      </w:pPr>
    </w:p>
    <w:p w14:paraId="3E70E5F4" w14:textId="77777777" w:rsidR="006C0C7C" w:rsidRDefault="006C0C7C">
      <w:pPr>
        <w:pStyle w:val="BodyText"/>
        <w:rPr>
          <w:sz w:val="26"/>
        </w:rPr>
      </w:pPr>
    </w:p>
    <w:p w14:paraId="0C32A333" w14:textId="77777777" w:rsidR="006C0C7C" w:rsidRDefault="006C0C7C">
      <w:pPr>
        <w:pStyle w:val="BodyText"/>
        <w:rPr>
          <w:sz w:val="26"/>
        </w:rPr>
      </w:pPr>
    </w:p>
    <w:p w14:paraId="0DABA20A" w14:textId="77777777" w:rsidR="006C0C7C" w:rsidRDefault="006C0C7C">
      <w:pPr>
        <w:pStyle w:val="BodyText"/>
        <w:rPr>
          <w:sz w:val="26"/>
        </w:rPr>
      </w:pPr>
    </w:p>
    <w:p w14:paraId="0C740A31" w14:textId="77777777" w:rsidR="006C0C7C" w:rsidRDefault="006C0C7C">
      <w:pPr>
        <w:pStyle w:val="BodyText"/>
        <w:rPr>
          <w:sz w:val="26"/>
        </w:rPr>
      </w:pPr>
    </w:p>
    <w:p w14:paraId="5AB7A1E3" w14:textId="77777777" w:rsidR="006C0C7C" w:rsidRDefault="006C0C7C">
      <w:pPr>
        <w:pStyle w:val="BodyText"/>
        <w:rPr>
          <w:sz w:val="26"/>
        </w:rPr>
      </w:pPr>
    </w:p>
    <w:p w14:paraId="51CA621F" w14:textId="77777777" w:rsidR="006C0C7C" w:rsidRDefault="006C0C7C">
      <w:pPr>
        <w:pStyle w:val="BodyText"/>
        <w:rPr>
          <w:sz w:val="26"/>
        </w:rPr>
      </w:pPr>
    </w:p>
    <w:p w14:paraId="5C23253D" w14:textId="77777777" w:rsidR="00EB116A" w:rsidRDefault="00EB116A">
      <w:pPr>
        <w:pStyle w:val="BodyText"/>
        <w:rPr>
          <w:sz w:val="26"/>
        </w:rPr>
      </w:pPr>
    </w:p>
    <w:p w14:paraId="4B58772A" w14:textId="77777777" w:rsidR="00EB116A" w:rsidRDefault="00EB116A">
      <w:pPr>
        <w:pStyle w:val="BodyText"/>
        <w:rPr>
          <w:sz w:val="26"/>
        </w:rPr>
      </w:pPr>
    </w:p>
    <w:p w14:paraId="1BE07694" w14:textId="77777777" w:rsidR="006C0C7C" w:rsidRDefault="006C0C7C">
      <w:pPr>
        <w:pStyle w:val="BodyText"/>
        <w:rPr>
          <w:sz w:val="26"/>
        </w:rPr>
      </w:pPr>
    </w:p>
    <w:p w14:paraId="0D31C9F6" w14:textId="77777777" w:rsidR="006C0C7C" w:rsidRDefault="006C0C7C">
      <w:pPr>
        <w:pStyle w:val="BodyText"/>
        <w:spacing w:before="3"/>
        <w:rPr>
          <w:sz w:val="30"/>
        </w:rPr>
      </w:pPr>
    </w:p>
    <w:p w14:paraId="4A1D8CB4" w14:textId="77777777" w:rsidR="006C0C7C" w:rsidRDefault="005273D3">
      <w:pPr>
        <w:pStyle w:val="Heading1"/>
        <w:spacing w:before="1"/>
        <w:ind w:left="3262" w:right="3263"/>
        <w:jc w:val="center"/>
      </w:pPr>
      <w:r>
        <w:lastRenderedPageBreak/>
        <w:t>PART V: RECORD KEEPING</w:t>
      </w:r>
    </w:p>
    <w:p w14:paraId="6AABA0EB" w14:textId="77777777" w:rsidR="006C0C7C" w:rsidRDefault="005273D3">
      <w:pPr>
        <w:spacing w:before="79"/>
        <w:ind w:left="220"/>
        <w:rPr>
          <w:b/>
          <w:sz w:val="24"/>
        </w:rPr>
      </w:pPr>
      <w:r>
        <w:rPr>
          <w:b/>
          <w:sz w:val="24"/>
        </w:rPr>
        <w:t>16-V.A. OVERVIEW</w:t>
      </w:r>
    </w:p>
    <w:p w14:paraId="554934CE" w14:textId="77777777" w:rsidR="006C0C7C" w:rsidRDefault="006C0C7C">
      <w:pPr>
        <w:pStyle w:val="BodyText"/>
        <w:spacing w:before="1"/>
        <w:rPr>
          <w:b/>
          <w:sz w:val="21"/>
        </w:rPr>
      </w:pPr>
    </w:p>
    <w:p w14:paraId="747BB014" w14:textId="77777777" w:rsidR="006C0C7C" w:rsidRDefault="005273D3">
      <w:pPr>
        <w:pStyle w:val="BodyText"/>
        <w:spacing w:line="276" w:lineRule="auto"/>
        <w:ind w:left="220" w:right="483"/>
      </w:pPr>
      <w:r>
        <w:t>The PHA must maintain complete and accurate accounts and other records for the program in accordance with HUD requirements, in a manner that permits a speedy and effective audit. All such records must be made available to HUD or the Comptroller General of the United States upon request.</w:t>
      </w:r>
    </w:p>
    <w:p w14:paraId="481EE906" w14:textId="77777777" w:rsidR="006C0C7C" w:rsidRDefault="005273D3">
      <w:pPr>
        <w:pStyle w:val="BodyText"/>
        <w:spacing w:before="199" w:line="276" w:lineRule="auto"/>
        <w:ind w:left="220" w:right="369"/>
      </w:pPr>
      <w:r>
        <w:t>In addition, the PHA must ensure that all applicant and participant files are maintained in a way that protects an individual’s privacy rights</w:t>
      </w:r>
      <w:r w:rsidR="00EB116A">
        <w:t xml:space="preserve">, </w:t>
      </w:r>
      <w:bookmarkStart w:id="2" w:name="_Hlk14781946"/>
      <w:r w:rsidR="00EB116A">
        <w:t>and that comply with VAWA 2013 confidentiality requirements</w:t>
      </w:r>
      <w:r>
        <w:t>.</w:t>
      </w:r>
    </w:p>
    <w:bookmarkEnd w:id="2"/>
    <w:p w14:paraId="64DE6B76" w14:textId="77777777" w:rsidR="006C0C7C" w:rsidRDefault="005273D3">
      <w:pPr>
        <w:pStyle w:val="Heading1"/>
        <w:spacing w:before="201"/>
      </w:pPr>
      <w:r>
        <w:t>16-V.B. RECORD RETENTION</w:t>
      </w:r>
    </w:p>
    <w:p w14:paraId="43CD775E" w14:textId="77777777" w:rsidR="006C0C7C" w:rsidRDefault="006C0C7C">
      <w:pPr>
        <w:pStyle w:val="BodyText"/>
        <w:spacing w:before="10"/>
        <w:rPr>
          <w:b/>
          <w:sz w:val="20"/>
        </w:rPr>
      </w:pPr>
    </w:p>
    <w:p w14:paraId="3C692166" w14:textId="77777777" w:rsidR="006C0C7C" w:rsidRDefault="005273D3">
      <w:pPr>
        <w:pStyle w:val="BodyText"/>
        <w:spacing w:line="276" w:lineRule="auto"/>
        <w:ind w:left="220" w:right="321"/>
      </w:pPr>
      <w:r>
        <w:t>The PHA must keep the last three years of the Form HUD-50058 and supporting documentation during the term of each assisted lease, and for a period of at least three years from the end of participation (EOP) date [24 CFR 908.101].</w:t>
      </w:r>
    </w:p>
    <w:p w14:paraId="28330E23" w14:textId="77777777" w:rsidR="006C0C7C" w:rsidRDefault="005273D3">
      <w:pPr>
        <w:pStyle w:val="BodyText"/>
        <w:spacing w:before="200" w:line="278" w:lineRule="auto"/>
        <w:ind w:left="220" w:right="289"/>
      </w:pPr>
      <w:bookmarkStart w:id="3" w:name="_Hlk14775224"/>
      <w:r>
        <w:t>Notice PIH 2014-20 requires the PHA to keep records of all complaints, investigations, notices, and corrective actions related to violations of the Fair Housing Act or the equal access final rule.</w:t>
      </w:r>
    </w:p>
    <w:p w14:paraId="49B22483" w14:textId="77777777" w:rsidR="00D64725" w:rsidRDefault="00D64725">
      <w:pPr>
        <w:pStyle w:val="BodyText"/>
        <w:spacing w:before="200" w:line="278" w:lineRule="auto"/>
        <w:ind w:left="220" w:right="289"/>
      </w:pPr>
      <w:r>
        <w:t>The PHA must keep confidential records of all emergency transfer requested under the PHA’s Emergency Transfer Plan, and the outcomes of such requests, and retain the records for a period of three years, or for a period of time as specific in program regulations [24 CFR 5.2002(e)(12)].</w:t>
      </w:r>
    </w:p>
    <w:bookmarkEnd w:id="3"/>
    <w:p w14:paraId="522FA096" w14:textId="77777777" w:rsidR="006C0C7C" w:rsidRDefault="005273D3">
      <w:pPr>
        <w:pStyle w:val="Heading1"/>
        <w:spacing w:before="195"/>
        <w:ind w:left="940"/>
      </w:pPr>
      <w:r>
        <w:rPr>
          <w:u w:val="thick"/>
        </w:rPr>
        <w:t>MHA Policy</w:t>
      </w:r>
    </w:p>
    <w:p w14:paraId="08308305" w14:textId="77777777" w:rsidR="006C0C7C" w:rsidRDefault="006C0C7C">
      <w:pPr>
        <w:pStyle w:val="BodyText"/>
        <w:spacing w:before="1"/>
        <w:rPr>
          <w:b/>
          <w:sz w:val="21"/>
        </w:rPr>
      </w:pPr>
    </w:p>
    <w:p w14:paraId="481F1934" w14:textId="77777777" w:rsidR="006C0C7C" w:rsidRDefault="005273D3">
      <w:pPr>
        <w:pStyle w:val="BodyText"/>
        <w:spacing w:line="276" w:lineRule="auto"/>
        <w:ind w:left="940"/>
      </w:pPr>
      <w:r>
        <w:t>During the term of each public housing tenancy, and for at least three years thereafter, the PHA will keep all documents related to a family’s eligibility, tenancy, and termination.</w:t>
      </w:r>
    </w:p>
    <w:p w14:paraId="6C16B72E" w14:textId="77777777" w:rsidR="006C0C7C" w:rsidRDefault="005273D3">
      <w:pPr>
        <w:pStyle w:val="BodyText"/>
        <w:spacing w:before="198"/>
        <w:ind w:left="940"/>
      </w:pPr>
      <w:r>
        <w:t>In addition, the PHA will keep the following records for at least three years:</w:t>
      </w:r>
    </w:p>
    <w:p w14:paraId="3E7E5101" w14:textId="77777777" w:rsidR="006C0C7C" w:rsidRDefault="006C0C7C">
      <w:pPr>
        <w:pStyle w:val="BodyText"/>
        <w:spacing w:before="2"/>
        <w:rPr>
          <w:sz w:val="21"/>
        </w:rPr>
      </w:pPr>
    </w:p>
    <w:p w14:paraId="0EF65F6B" w14:textId="77777777" w:rsidR="006C0C7C" w:rsidRDefault="005273D3">
      <w:pPr>
        <w:pStyle w:val="BodyText"/>
        <w:spacing w:line="276" w:lineRule="auto"/>
        <w:ind w:left="1660" w:right="327"/>
      </w:pPr>
      <w:r>
        <w:t>An application from each ineligible family and notice that the applicant is not eligible</w:t>
      </w:r>
    </w:p>
    <w:p w14:paraId="1CB74D5C" w14:textId="77777777" w:rsidR="006C0C7C" w:rsidRDefault="005273D3">
      <w:pPr>
        <w:pStyle w:val="BodyText"/>
        <w:spacing w:before="200" w:line="276" w:lineRule="auto"/>
        <w:ind w:left="1660" w:right="414"/>
      </w:pPr>
      <w:r>
        <w:t>Documentation supporting the establishment of flat rents and the public housing maximum rent</w:t>
      </w:r>
    </w:p>
    <w:p w14:paraId="3F1F92D2" w14:textId="77777777" w:rsidR="006C0C7C" w:rsidRDefault="005273D3">
      <w:pPr>
        <w:pStyle w:val="BodyText"/>
        <w:spacing w:before="201" w:line="448" w:lineRule="auto"/>
        <w:ind w:left="1660" w:right="308"/>
      </w:pPr>
      <w:r>
        <w:t>Documentation supporting the establishment of utility allowances and surcharges Documentation related to PHAS</w:t>
      </w:r>
    </w:p>
    <w:p w14:paraId="3950584F" w14:textId="77777777" w:rsidR="006C0C7C" w:rsidRDefault="005273D3">
      <w:pPr>
        <w:pStyle w:val="BodyText"/>
        <w:spacing w:before="2" w:line="276" w:lineRule="auto"/>
        <w:ind w:left="1660" w:right="428"/>
      </w:pPr>
      <w:r>
        <w:t>Accounts and other records supporting PHA budget and financial statements for the program</w:t>
      </w:r>
    </w:p>
    <w:p w14:paraId="5A589641" w14:textId="77777777" w:rsidR="006C0C7C" w:rsidRDefault="005273D3">
      <w:pPr>
        <w:pStyle w:val="BodyText"/>
        <w:spacing w:before="201"/>
        <w:ind w:left="1660"/>
      </w:pPr>
      <w:r>
        <w:t>Other records as determined by the PHA or as required by HUD</w:t>
      </w:r>
    </w:p>
    <w:p w14:paraId="1389275D" w14:textId="77777777" w:rsidR="006C0C7C" w:rsidRDefault="006C0C7C">
      <w:pPr>
        <w:pStyle w:val="BodyText"/>
        <w:spacing w:before="10"/>
        <w:rPr>
          <w:sz w:val="20"/>
        </w:rPr>
      </w:pPr>
    </w:p>
    <w:p w14:paraId="0FB7D5E8" w14:textId="77777777" w:rsidR="006C0C7C" w:rsidRDefault="005273D3">
      <w:pPr>
        <w:pStyle w:val="BodyText"/>
        <w:spacing w:line="276" w:lineRule="auto"/>
        <w:ind w:left="1660" w:right="308"/>
      </w:pPr>
      <w:bookmarkStart w:id="4" w:name="_Hlk14775282"/>
      <w:r>
        <w:t xml:space="preserve">Complaints, investigations, notices, and corrective actions related to violations of </w:t>
      </w:r>
      <w:r>
        <w:lastRenderedPageBreak/>
        <w:t>the Fair Housing Act or the equal access final rule.</w:t>
      </w:r>
    </w:p>
    <w:bookmarkEnd w:id="4"/>
    <w:p w14:paraId="1A95E4D3" w14:textId="77777777" w:rsidR="00D64725" w:rsidRDefault="00D64725">
      <w:pPr>
        <w:pStyle w:val="BodyText"/>
        <w:spacing w:line="276" w:lineRule="auto"/>
        <w:ind w:left="1660" w:right="308"/>
      </w:pPr>
    </w:p>
    <w:p w14:paraId="03782755" w14:textId="77777777" w:rsidR="00D64725" w:rsidRDefault="00D64725">
      <w:pPr>
        <w:pStyle w:val="BodyText"/>
        <w:spacing w:line="276" w:lineRule="auto"/>
        <w:ind w:left="1660" w:right="308"/>
      </w:pPr>
      <w:bookmarkStart w:id="5" w:name="_Hlk14782068"/>
      <w:r>
        <w:t>Lead based paint records as required by 24 CFR 35, Subpart B</w:t>
      </w:r>
    </w:p>
    <w:p w14:paraId="33898F98" w14:textId="77777777" w:rsidR="00D64725" w:rsidRDefault="00D64725">
      <w:pPr>
        <w:pStyle w:val="BodyText"/>
        <w:spacing w:line="276" w:lineRule="auto"/>
        <w:ind w:left="1660" w:right="308"/>
      </w:pPr>
    </w:p>
    <w:p w14:paraId="3F567809" w14:textId="77777777" w:rsidR="00D64725" w:rsidRDefault="00D64725">
      <w:pPr>
        <w:pStyle w:val="BodyText"/>
        <w:spacing w:line="276" w:lineRule="auto"/>
        <w:ind w:left="1660" w:right="308"/>
      </w:pPr>
      <w:r>
        <w:t>Confidential records of all emergency transfers related to VAWA requested under the PHA’s Emergency Transfer Plan and the outcomes of such requests</w:t>
      </w:r>
    </w:p>
    <w:bookmarkEnd w:id="5"/>
    <w:p w14:paraId="7347C57C" w14:textId="77777777" w:rsidR="006C0C7C" w:rsidRDefault="005273D3">
      <w:pPr>
        <w:pStyle w:val="BodyText"/>
        <w:spacing w:before="200" w:line="276" w:lineRule="auto"/>
        <w:ind w:left="220" w:right="269"/>
      </w:pPr>
      <w:r>
        <w:t>If an informal hearing to establish a family’s citizenship status is held, longer retention requirements apply for some types of documents. For specific requirements, see Section 14-II.A.</w:t>
      </w:r>
    </w:p>
    <w:p w14:paraId="23702C8C" w14:textId="77777777" w:rsidR="00D64725" w:rsidRDefault="00D64725">
      <w:pPr>
        <w:pStyle w:val="Heading1"/>
        <w:spacing w:before="79"/>
      </w:pPr>
    </w:p>
    <w:p w14:paraId="2169AC23" w14:textId="77777777" w:rsidR="006C0C7C" w:rsidRDefault="005273D3">
      <w:pPr>
        <w:pStyle w:val="Heading1"/>
        <w:spacing w:before="79"/>
      </w:pPr>
      <w:r>
        <w:t>16-V.C. RECORDS MANAGEMENT</w:t>
      </w:r>
    </w:p>
    <w:p w14:paraId="6DFD73CF" w14:textId="77777777" w:rsidR="006C0C7C" w:rsidRDefault="006C0C7C">
      <w:pPr>
        <w:pStyle w:val="BodyText"/>
        <w:spacing w:before="1"/>
        <w:rPr>
          <w:b/>
          <w:sz w:val="21"/>
        </w:rPr>
      </w:pPr>
    </w:p>
    <w:p w14:paraId="2F50B5C6" w14:textId="77777777" w:rsidR="006C0C7C" w:rsidRDefault="005273D3">
      <w:pPr>
        <w:pStyle w:val="BodyText"/>
        <w:spacing w:line="276" w:lineRule="auto"/>
        <w:ind w:left="220" w:right="723"/>
      </w:pPr>
      <w:r>
        <w:t>PHAs must maintain applicant and participant files and information in accordance with the regulatory requirements described below.</w:t>
      </w:r>
    </w:p>
    <w:p w14:paraId="465A4439" w14:textId="77777777" w:rsidR="006C0C7C" w:rsidRDefault="005273D3">
      <w:pPr>
        <w:pStyle w:val="Heading1"/>
        <w:spacing w:before="198"/>
        <w:ind w:left="940"/>
      </w:pPr>
      <w:r>
        <w:rPr>
          <w:u w:val="thick"/>
        </w:rPr>
        <w:t>MHA Policy</w:t>
      </w:r>
    </w:p>
    <w:p w14:paraId="0FF809A3" w14:textId="77777777" w:rsidR="006C0C7C" w:rsidRDefault="006C0C7C">
      <w:pPr>
        <w:pStyle w:val="BodyText"/>
        <w:spacing w:before="1"/>
        <w:rPr>
          <w:b/>
          <w:sz w:val="21"/>
        </w:rPr>
      </w:pPr>
    </w:p>
    <w:p w14:paraId="39967E45" w14:textId="77777777" w:rsidR="006C0C7C" w:rsidRDefault="005273D3">
      <w:pPr>
        <w:pStyle w:val="BodyText"/>
        <w:spacing w:line="276" w:lineRule="auto"/>
        <w:ind w:left="940" w:right="282"/>
      </w:pPr>
      <w:r>
        <w:t>All applicant and participant information will be kept in a secure location and access will be limited to authorized PHA staff.</w:t>
      </w:r>
    </w:p>
    <w:p w14:paraId="5D76DE8D" w14:textId="77777777" w:rsidR="006C0C7C" w:rsidRDefault="005273D3">
      <w:pPr>
        <w:pStyle w:val="BodyText"/>
        <w:spacing w:before="201" w:line="276" w:lineRule="auto"/>
        <w:ind w:left="940" w:right="288"/>
      </w:pPr>
      <w:r>
        <w:t>PHA staff will not discuss personal family information unless there is a business reason to do so. Inappropriate discussion of family information or improper disclosure of family information by staff will result in disciplinary action.</w:t>
      </w:r>
    </w:p>
    <w:p w14:paraId="3444BDFC" w14:textId="77777777" w:rsidR="006C0C7C" w:rsidRDefault="005273D3">
      <w:pPr>
        <w:pStyle w:val="Heading1"/>
        <w:spacing w:before="200"/>
      </w:pPr>
      <w:r>
        <w:t>Privacy Act Requirements [24 CFR 5.212 and Form-9886]</w:t>
      </w:r>
    </w:p>
    <w:p w14:paraId="4C394290" w14:textId="77777777" w:rsidR="006C0C7C" w:rsidRDefault="006C0C7C">
      <w:pPr>
        <w:pStyle w:val="BodyText"/>
        <w:spacing w:before="10"/>
        <w:rPr>
          <w:b/>
          <w:sz w:val="20"/>
        </w:rPr>
      </w:pPr>
    </w:p>
    <w:p w14:paraId="4BBB7C3B" w14:textId="77777777" w:rsidR="006C0C7C" w:rsidRDefault="005273D3">
      <w:pPr>
        <w:pStyle w:val="BodyText"/>
        <w:spacing w:line="276" w:lineRule="auto"/>
        <w:ind w:left="220" w:right="254"/>
      </w:pPr>
      <w:r>
        <w:t>The collection, maintenance, use, and dissemination of social security numbers (SSN), employer identification numbers (EIN), any information derived from these numbers, and income information of applicants and participants must be conducted, to the extent applicable, in compliance with the Privacy Act of 1974, and all other provisions of Federal, State, and local law.</w:t>
      </w:r>
    </w:p>
    <w:p w14:paraId="7299CF2D" w14:textId="77777777" w:rsidR="006C0C7C" w:rsidRDefault="005273D3">
      <w:pPr>
        <w:pStyle w:val="BodyText"/>
        <w:spacing w:before="201" w:line="276" w:lineRule="auto"/>
        <w:ind w:left="220" w:right="338"/>
        <w:jc w:val="both"/>
      </w:pPr>
      <w:r>
        <w:t>Applicants and participants, including all adults in the household, are required to sign a consent form, HUD-9886, Authorization for Release of Information. This form incorporates the Federal Privacy Act Statement and describes how the information collected using the form may be</w:t>
      </w:r>
      <w:r>
        <w:rPr>
          <w:spacing w:val="-16"/>
        </w:rPr>
        <w:t xml:space="preserve"> </w:t>
      </w:r>
      <w:r>
        <w:t>used, and under what conditions HUD or the PHA may release the information</w:t>
      </w:r>
      <w:r>
        <w:rPr>
          <w:spacing w:val="-9"/>
        </w:rPr>
        <w:t xml:space="preserve"> </w:t>
      </w:r>
      <w:r>
        <w:t>collected.</w:t>
      </w:r>
    </w:p>
    <w:p w14:paraId="11ADF932" w14:textId="77777777" w:rsidR="006C0C7C" w:rsidRDefault="005273D3">
      <w:pPr>
        <w:pStyle w:val="Heading1"/>
        <w:spacing w:before="200"/>
      </w:pPr>
      <w:r>
        <w:t>Upfront Income Verification (UIV) Records</w:t>
      </w:r>
    </w:p>
    <w:p w14:paraId="5A3DB2C7" w14:textId="77777777" w:rsidR="006C0C7C" w:rsidRDefault="006C0C7C">
      <w:pPr>
        <w:pStyle w:val="BodyText"/>
        <w:spacing w:before="1"/>
        <w:rPr>
          <w:b/>
          <w:sz w:val="21"/>
        </w:rPr>
      </w:pPr>
    </w:p>
    <w:p w14:paraId="0C005E4D" w14:textId="77777777" w:rsidR="006C0C7C" w:rsidRDefault="005273D3">
      <w:pPr>
        <w:pStyle w:val="BodyText"/>
        <w:spacing w:line="276" w:lineRule="auto"/>
        <w:ind w:left="220" w:right="343"/>
      </w:pPr>
      <w:r>
        <w:t>PHAs that access UIV data through HUD’s Enterprise Income Verification (EIV) System are required to adopt and follow specific security procedures to ensure that all EIV data is protected in accordance with Federal laws, regardless of the media on which the data is recorded (e.g. electronic, paper). These requirements are contained in the HUD issued document, Enterprise Income Verification (EIV) System, Security Procedures for Upfront Income Verification data.</w:t>
      </w:r>
    </w:p>
    <w:p w14:paraId="052E79EE" w14:textId="77777777" w:rsidR="00D64725" w:rsidRDefault="00D64725">
      <w:pPr>
        <w:pStyle w:val="BodyText"/>
        <w:spacing w:line="276" w:lineRule="auto"/>
        <w:ind w:left="220" w:right="343"/>
      </w:pPr>
    </w:p>
    <w:p w14:paraId="63085DA6" w14:textId="77777777" w:rsidR="006C0C7C" w:rsidRDefault="005273D3">
      <w:pPr>
        <w:pStyle w:val="Heading1"/>
        <w:spacing w:before="199"/>
        <w:ind w:left="940"/>
      </w:pPr>
      <w:r>
        <w:rPr>
          <w:u w:val="thick"/>
        </w:rPr>
        <w:lastRenderedPageBreak/>
        <w:t>MHA Policy</w:t>
      </w:r>
    </w:p>
    <w:p w14:paraId="52FDA05D" w14:textId="77777777" w:rsidR="006C0C7C" w:rsidRDefault="006C0C7C">
      <w:pPr>
        <w:pStyle w:val="BodyText"/>
        <w:spacing w:before="1"/>
        <w:rPr>
          <w:b/>
          <w:sz w:val="21"/>
        </w:rPr>
      </w:pPr>
    </w:p>
    <w:p w14:paraId="66FE01AD" w14:textId="77777777" w:rsidR="006C0C7C" w:rsidRPr="00EB116A" w:rsidRDefault="005273D3" w:rsidP="00EB116A">
      <w:pPr>
        <w:pStyle w:val="BodyText"/>
        <w:spacing w:line="276" w:lineRule="auto"/>
        <w:ind w:left="940" w:right="561"/>
      </w:pPr>
      <w:r>
        <w:t>Prior to utilizing HUD’s EIV system, the PHA will adopt and implement EIV security procedures required by HUD.</w:t>
      </w:r>
    </w:p>
    <w:p w14:paraId="39932749" w14:textId="77777777" w:rsidR="006C0C7C" w:rsidRDefault="006C0C7C">
      <w:pPr>
        <w:pStyle w:val="BodyText"/>
        <w:spacing w:before="4"/>
        <w:rPr>
          <w:sz w:val="29"/>
        </w:rPr>
      </w:pPr>
    </w:p>
    <w:p w14:paraId="5D56E266" w14:textId="77777777" w:rsidR="006C0C7C" w:rsidRDefault="005273D3">
      <w:pPr>
        <w:pStyle w:val="Heading1"/>
        <w:spacing w:before="1"/>
      </w:pPr>
      <w:r>
        <w:t>Criminal Records</w:t>
      </w:r>
    </w:p>
    <w:p w14:paraId="69385CD0" w14:textId="77777777" w:rsidR="006C0C7C" w:rsidRDefault="005273D3">
      <w:pPr>
        <w:pStyle w:val="BodyText"/>
        <w:spacing w:before="79" w:line="276" w:lineRule="auto"/>
        <w:ind w:left="220" w:right="334"/>
        <w:jc w:val="both"/>
      </w:pPr>
      <w:r>
        <w:t>The PHA may only disclose the criminal conviction records which the PHA receives from a law enforcement agency to officers or employees of the PHA, or to authorized representatives of the PHA who have a job-related need to have access to the information [24 CFR 5.903(e)].</w:t>
      </w:r>
    </w:p>
    <w:p w14:paraId="324D77C6" w14:textId="77777777" w:rsidR="006C0C7C" w:rsidRDefault="005273D3">
      <w:pPr>
        <w:pStyle w:val="BodyText"/>
        <w:spacing w:before="200" w:line="276" w:lineRule="auto"/>
        <w:ind w:left="220" w:right="335"/>
      </w:pPr>
      <w:r>
        <w:t>The PHA must establish and implement a system of records management that ensures that any criminal record received by the PHA from a law enforcement agency is maintained confidentially, not misused or improperly disseminated, and destroyed, once the purpose for which the record was requested has been accomplished, including expiration of the period for filing a challenge to the PHA action without institution of a challenge or final disposition of any such litigation [24 CFR 5.903(g)].</w:t>
      </w:r>
    </w:p>
    <w:p w14:paraId="60F8A318" w14:textId="77777777" w:rsidR="006C0C7C" w:rsidRDefault="005273D3">
      <w:pPr>
        <w:pStyle w:val="BodyText"/>
        <w:spacing w:before="201" w:line="276" w:lineRule="auto"/>
        <w:ind w:left="220" w:right="283"/>
      </w:pPr>
      <w:r>
        <w:t>The PHA must establish and implement a system of records management that ensures that any sex offender registration information received by the PHA from a State or local agency is maintained confidentially, not misused or improperly disseminated, and destroyed, once the purpose for which the record was requested has been accomplished, including expiration of the period for filing a challenge to the PHA action without institution of a challenge or final disposition of any such litigation. However, a record of the screening, including the type of screening and the date performed must be retained [Notice PIH 2012-28]. This requirement does not apply to information that is public information or is obtained by a PHA other than under 24 CFR 5.905.</w:t>
      </w:r>
    </w:p>
    <w:p w14:paraId="3D95CA74" w14:textId="77777777" w:rsidR="006C0C7C" w:rsidRDefault="005273D3">
      <w:pPr>
        <w:pStyle w:val="Heading1"/>
        <w:spacing w:before="199"/>
      </w:pPr>
      <w:r>
        <w:t>Medical/Disability Records</w:t>
      </w:r>
    </w:p>
    <w:p w14:paraId="36848BD9" w14:textId="77777777" w:rsidR="006C0C7C" w:rsidRDefault="006C0C7C">
      <w:pPr>
        <w:pStyle w:val="BodyText"/>
        <w:spacing w:before="1"/>
        <w:rPr>
          <w:b/>
          <w:sz w:val="21"/>
        </w:rPr>
      </w:pPr>
    </w:p>
    <w:p w14:paraId="15F5D728" w14:textId="77777777" w:rsidR="006C0C7C" w:rsidRDefault="005273D3">
      <w:pPr>
        <w:pStyle w:val="BodyText"/>
        <w:spacing w:line="276" w:lineRule="auto"/>
        <w:ind w:left="220" w:right="322"/>
      </w:pPr>
      <w:r>
        <w:t>PHAs are not permitted to inquire about the nature or extent of a person’s disability. The PHA may not inquire about a person’s diagnosis or details of treatment for a disability or medical condition. If the PHA receives a verification document that provides such information, the PHA should not place this information in the tenant file. The PHA should destroy the document.</w:t>
      </w:r>
    </w:p>
    <w:p w14:paraId="134BCC69" w14:textId="77777777" w:rsidR="006C0C7C" w:rsidRDefault="005273D3">
      <w:pPr>
        <w:pStyle w:val="Heading1"/>
        <w:spacing w:before="200"/>
      </w:pPr>
      <w:r>
        <w:t>Documentation of Domestic Violence, Dating Violence, or Stalking</w:t>
      </w:r>
    </w:p>
    <w:p w14:paraId="5DED986E" w14:textId="77777777" w:rsidR="006C0C7C" w:rsidRDefault="006C0C7C">
      <w:pPr>
        <w:pStyle w:val="BodyText"/>
        <w:spacing w:before="1"/>
        <w:rPr>
          <w:b/>
          <w:sz w:val="21"/>
        </w:rPr>
      </w:pPr>
    </w:p>
    <w:p w14:paraId="7EFDAE51" w14:textId="77777777" w:rsidR="006C0C7C" w:rsidRDefault="005273D3">
      <w:pPr>
        <w:pStyle w:val="BodyText"/>
        <w:spacing w:line="276" w:lineRule="auto"/>
        <w:ind w:left="220" w:right="723"/>
      </w:pPr>
      <w:r>
        <w:t>For requirements and PHA policies related to management of documentation obtained from victims of domestic violence, dating violence, or stalking, see section 16-VI.E.</w:t>
      </w:r>
    </w:p>
    <w:p w14:paraId="65154B04" w14:textId="77777777" w:rsidR="006C0C7C" w:rsidRDefault="006C0C7C">
      <w:pPr>
        <w:pStyle w:val="BodyText"/>
        <w:rPr>
          <w:sz w:val="26"/>
        </w:rPr>
      </w:pPr>
    </w:p>
    <w:p w14:paraId="7CEBC060" w14:textId="77777777" w:rsidR="006C0C7C" w:rsidRDefault="006C0C7C">
      <w:pPr>
        <w:pStyle w:val="BodyText"/>
        <w:rPr>
          <w:sz w:val="26"/>
        </w:rPr>
      </w:pPr>
    </w:p>
    <w:p w14:paraId="7B40209A" w14:textId="77777777" w:rsidR="006C0C7C" w:rsidRDefault="006C0C7C">
      <w:pPr>
        <w:pStyle w:val="BodyText"/>
        <w:rPr>
          <w:sz w:val="26"/>
        </w:rPr>
      </w:pPr>
    </w:p>
    <w:p w14:paraId="662FAC5A" w14:textId="77777777" w:rsidR="006C0C7C" w:rsidRDefault="006C0C7C">
      <w:pPr>
        <w:pStyle w:val="BodyText"/>
        <w:rPr>
          <w:sz w:val="26"/>
        </w:rPr>
      </w:pPr>
    </w:p>
    <w:p w14:paraId="4DF3F500" w14:textId="77777777" w:rsidR="006C0C7C" w:rsidRDefault="006C0C7C">
      <w:pPr>
        <w:pStyle w:val="BodyText"/>
        <w:rPr>
          <w:sz w:val="26"/>
        </w:rPr>
      </w:pPr>
    </w:p>
    <w:p w14:paraId="230AE7F4" w14:textId="77777777" w:rsidR="006C0C7C" w:rsidRDefault="006C0C7C">
      <w:pPr>
        <w:pStyle w:val="BodyText"/>
        <w:rPr>
          <w:sz w:val="26"/>
        </w:rPr>
      </w:pPr>
    </w:p>
    <w:p w14:paraId="74714524" w14:textId="77777777" w:rsidR="006C0C7C" w:rsidRDefault="006C0C7C">
      <w:pPr>
        <w:pStyle w:val="BodyText"/>
        <w:rPr>
          <w:sz w:val="26"/>
        </w:rPr>
      </w:pPr>
    </w:p>
    <w:p w14:paraId="38767D8D" w14:textId="77777777" w:rsidR="005273D3" w:rsidRPr="002F78C9" w:rsidRDefault="005273D3" w:rsidP="005273D3">
      <w:pPr>
        <w:jc w:val="center"/>
        <w:rPr>
          <w:b/>
          <w:sz w:val="24"/>
          <w:szCs w:val="24"/>
        </w:rPr>
      </w:pPr>
      <w:bookmarkStart w:id="6" w:name="_Hlk14775730"/>
      <w:r w:rsidRPr="002F78C9">
        <w:rPr>
          <w:b/>
          <w:sz w:val="24"/>
          <w:szCs w:val="24"/>
        </w:rPr>
        <w:lastRenderedPageBreak/>
        <w:t>PART VI: REPORTING REQUIREMENTS FOR CHILDREN WITH ENVIRONMENTAL INTERVENTION BLOOD LEAD LEVEL</w:t>
      </w:r>
    </w:p>
    <w:p w14:paraId="34BB4D49" w14:textId="77777777" w:rsidR="005273D3" w:rsidRDefault="005273D3" w:rsidP="005273D3">
      <w:pPr>
        <w:rPr>
          <w:sz w:val="24"/>
          <w:szCs w:val="24"/>
        </w:rPr>
      </w:pPr>
    </w:p>
    <w:p w14:paraId="1090B2CD" w14:textId="45500E0A" w:rsidR="005273D3" w:rsidRPr="005273D3" w:rsidRDefault="005273D3" w:rsidP="005273D3">
      <w:pPr>
        <w:rPr>
          <w:b/>
          <w:sz w:val="24"/>
          <w:szCs w:val="24"/>
        </w:rPr>
      </w:pPr>
      <w:r w:rsidRPr="005273D3">
        <w:rPr>
          <w:b/>
          <w:sz w:val="24"/>
          <w:szCs w:val="24"/>
        </w:rPr>
        <w:t>16.VI.A REPORTING REQUIREMENTS [24 CFR 35.11330(e)</w:t>
      </w:r>
      <w:r w:rsidR="00AC4C84">
        <w:rPr>
          <w:b/>
          <w:sz w:val="24"/>
          <w:szCs w:val="24"/>
        </w:rPr>
        <w:t>; Notice PIH 2017-13</w:t>
      </w:r>
      <w:r w:rsidRPr="005273D3">
        <w:rPr>
          <w:b/>
          <w:sz w:val="24"/>
          <w:szCs w:val="24"/>
        </w:rPr>
        <w:t>]</w:t>
      </w:r>
    </w:p>
    <w:p w14:paraId="1A282EAD" w14:textId="77777777" w:rsidR="005273D3" w:rsidRDefault="005273D3" w:rsidP="005273D3">
      <w:pPr>
        <w:rPr>
          <w:sz w:val="24"/>
          <w:szCs w:val="24"/>
        </w:rPr>
      </w:pPr>
    </w:p>
    <w:p w14:paraId="12937246" w14:textId="01A48F15" w:rsidR="005273D3" w:rsidRDefault="005273D3" w:rsidP="005273D3">
      <w:pPr>
        <w:rPr>
          <w:sz w:val="24"/>
          <w:szCs w:val="24"/>
        </w:rPr>
      </w:pPr>
      <w:r>
        <w:rPr>
          <w:sz w:val="24"/>
          <w:szCs w:val="24"/>
        </w:rPr>
        <w:t xml:space="preserve">The PHA has certain responsibilities relative to children with </w:t>
      </w:r>
      <w:r w:rsidR="00AC4C84">
        <w:rPr>
          <w:sz w:val="24"/>
          <w:szCs w:val="24"/>
        </w:rPr>
        <w:t>elevated</w:t>
      </w:r>
      <w:r>
        <w:rPr>
          <w:sz w:val="24"/>
          <w:szCs w:val="24"/>
        </w:rPr>
        <w:t xml:space="preserve"> blood lead levels that are living in public housing.</w:t>
      </w:r>
    </w:p>
    <w:p w14:paraId="3D93AF96" w14:textId="77777777" w:rsidR="005273D3" w:rsidRDefault="005273D3" w:rsidP="005273D3">
      <w:pPr>
        <w:rPr>
          <w:sz w:val="24"/>
          <w:szCs w:val="24"/>
        </w:rPr>
      </w:pPr>
    </w:p>
    <w:p w14:paraId="65C3E442" w14:textId="748B65F0" w:rsidR="005273D3" w:rsidRDefault="005273D3" w:rsidP="005273D3">
      <w:pPr>
        <w:rPr>
          <w:sz w:val="24"/>
          <w:szCs w:val="24"/>
        </w:rPr>
      </w:pPr>
      <w:r>
        <w:rPr>
          <w:sz w:val="24"/>
          <w:szCs w:val="24"/>
        </w:rPr>
        <w:t xml:space="preserve">The PHA must report the name and address of a child identified as having an </w:t>
      </w:r>
      <w:r w:rsidR="00AC4C84">
        <w:rPr>
          <w:sz w:val="24"/>
          <w:szCs w:val="24"/>
        </w:rPr>
        <w:t>elevated</w:t>
      </w:r>
      <w:r>
        <w:rPr>
          <w:sz w:val="24"/>
          <w:szCs w:val="24"/>
        </w:rPr>
        <w:t xml:space="preserve"> blood lead level</w:t>
      </w:r>
      <w:r w:rsidR="00AC4C84">
        <w:rPr>
          <w:sz w:val="24"/>
          <w:szCs w:val="24"/>
        </w:rPr>
        <w:t xml:space="preserve"> (EBLL)</w:t>
      </w:r>
      <w:r>
        <w:rPr>
          <w:sz w:val="24"/>
          <w:szCs w:val="24"/>
        </w:rPr>
        <w:t xml:space="preserve"> to the public health department within </w:t>
      </w:r>
      <w:r w:rsidR="00AC4C84">
        <w:rPr>
          <w:sz w:val="24"/>
          <w:szCs w:val="24"/>
        </w:rPr>
        <w:t xml:space="preserve">five </w:t>
      </w:r>
      <w:r>
        <w:rPr>
          <w:sz w:val="24"/>
          <w:szCs w:val="24"/>
        </w:rPr>
        <w:t xml:space="preserve">business days of being so notified by any other medical health care professional. The PHA must also report each known case of a child with an </w:t>
      </w:r>
      <w:r w:rsidR="00AC4C84">
        <w:rPr>
          <w:sz w:val="24"/>
          <w:szCs w:val="24"/>
        </w:rPr>
        <w:t>EBLL</w:t>
      </w:r>
      <w:r>
        <w:rPr>
          <w:sz w:val="24"/>
          <w:szCs w:val="24"/>
        </w:rPr>
        <w:t xml:space="preserve"> to the HUD field office. </w:t>
      </w:r>
    </w:p>
    <w:p w14:paraId="27189EDB" w14:textId="77777777" w:rsidR="005273D3" w:rsidRDefault="005273D3" w:rsidP="005273D3">
      <w:pPr>
        <w:rPr>
          <w:sz w:val="24"/>
          <w:szCs w:val="24"/>
        </w:rPr>
      </w:pPr>
    </w:p>
    <w:p w14:paraId="7692FA18" w14:textId="77777777" w:rsidR="005273D3" w:rsidRPr="005273D3" w:rsidRDefault="005273D3" w:rsidP="005273D3">
      <w:pPr>
        <w:ind w:firstLine="720"/>
        <w:rPr>
          <w:b/>
          <w:sz w:val="24"/>
          <w:szCs w:val="24"/>
          <w:u w:val="single"/>
        </w:rPr>
      </w:pPr>
      <w:r w:rsidRPr="005273D3">
        <w:rPr>
          <w:b/>
          <w:sz w:val="24"/>
          <w:szCs w:val="24"/>
          <w:u w:val="single"/>
        </w:rPr>
        <w:t>MHA Policy</w:t>
      </w:r>
    </w:p>
    <w:p w14:paraId="7F914FF1" w14:textId="77777777" w:rsidR="005273D3" w:rsidRDefault="005273D3" w:rsidP="005273D3">
      <w:pPr>
        <w:rPr>
          <w:sz w:val="24"/>
          <w:szCs w:val="24"/>
        </w:rPr>
      </w:pPr>
    </w:p>
    <w:p w14:paraId="04B4E00B" w14:textId="378304DA" w:rsidR="005273D3" w:rsidRDefault="005273D3" w:rsidP="005273D3">
      <w:pPr>
        <w:ind w:left="720"/>
        <w:rPr>
          <w:sz w:val="24"/>
          <w:szCs w:val="24"/>
        </w:rPr>
      </w:pPr>
      <w:r>
        <w:rPr>
          <w:sz w:val="24"/>
          <w:szCs w:val="24"/>
        </w:rPr>
        <w:t xml:space="preserve">The PHA will provide the public health department written notice of the name and address of any child identified as having </w:t>
      </w:r>
      <w:r w:rsidR="00AC4C84">
        <w:rPr>
          <w:sz w:val="24"/>
          <w:szCs w:val="24"/>
        </w:rPr>
        <w:t>an elevated</w:t>
      </w:r>
      <w:r>
        <w:rPr>
          <w:sz w:val="24"/>
          <w:szCs w:val="24"/>
        </w:rPr>
        <w:t xml:space="preserve"> blood lead level. </w:t>
      </w:r>
    </w:p>
    <w:p w14:paraId="2A03B37B" w14:textId="77777777" w:rsidR="005273D3" w:rsidRDefault="005273D3" w:rsidP="005273D3">
      <w:pPr>
        <w:rPr>
          <w:sz w:val="24"/>
          <w:szCs w:val="24"/>
        </w:rPr>
      </w:pPr>
    </w:p>
    <w:p w14:paraId="6B0932F9" w14:textId="4E0BFC07" w:rsidR="005273D3" w:rsidRDefault="005273D3" w:rsidP="005273D3">
      <w:pPr>
        <w:ind w:left="720"/>
        <w:rPr>
          <w:sz w:val="24"/>
          <w:szCs w:val="24"/>
        </w:rPr>
      </w:pPr>
      <w:r>
        <w:rPr>
          <w:sz w:val="24"/>
          <w:szCs w:val="24"/>
        </w:rPr>
        <w:t xml:space="preserve">The PHA will provide written notice of each known case of a child with an </w:t>
      </w:r>
      <w:r w:rsidR="00AC4C84">
        <w:rPr>
          <w:sz w:val="24"/>
          <w:szCs w:val="24"/>
        </w:rPr>
        <w:t xml:space="preserve">EBLL </w:t>
      </w:r>
      <w:r>
        <w:rPr>
          <w:sz w:val="24"/>
          <w:szCs w:val="24"/>
        </w:rPr>
        <w:t>to the HUD filed</w:t>
      </w:r>
      <w:r w:rsidR="00AC4C84">
        <w:rPr>
          <w:sz w:val="24"/>
          <w:szCs w:val="24"/>
        </w:rPr>
        <w:t>, and to HUD’s Office of Lead Hazard Control (OHLCHH)</w:t>
      </w:r>
      <w:r>
        <w:rPr>
          <w:sz w:val="24"/>
          <w:szCs w:val="24"/>
        </w:rPr>
        <w:t xml:space="preserve"> office within </w:t>
      </w:r>
      <w:r w:rsidR="00AC4C84">
        <w:rPr>
          <w:sz w:val="24"/>
          <w:szCs w:val="24"/>
        </w:rPr>
        <w:t>five</w:t>
      </w:r>
      <w:r>
        <w:rPr>
          <w:sz w:val="24"/>
          <w:szCs w:val="24"/>
        </w:rPr>
        <w:t xml:space="preserve"> business days of receiving the information.</w:t>
      </w:r>
    </w:p>
    <w:bookmarkEnd w:id="6"/>
    <w:p w14:paraId="5AF56AA0" w14:textId="77777777" w:rsidR="005273D3" w:rsidRDefault="005273D3" w:rsidP="005273D3">
      <w:pPr>
        <w:rPr>
          <w:sz w:val="24"/>
          <w:szCs w:val="24"/>
        </w:rPr>
      </w:pPr>
    </w:p>
    <w:p w14:paraId="140852D2" w14:textId="77777777" w:rsidR="005273D3" w:rsidRDefault="005273D3">
      <w:pPr>
        <w:rPr>
          <w:b/>
          <w:bCs/>
          <w:sz w:val="24"/>
          <w:szCs w:val="24"/>
        </w:rPr>
      </w:pPr>
      <w:r>
        <w:br w:type="page"/>
      </w:r>
    </w:p>
    <w:p w14:paraId="1E5DFBD6" w14:textId="77777777" w:rsidR="006C0C7C" w:rsidRDefault="005273D3" w:rsidP="00224E32">
      <w:pPr>
        <w:pStyle w:val="Heading1"/>
        <w:spacing w:line="278" w:lineRule="auto"/>
        <w:ind w:right="800"/>
        <w:jc w:val="center"/>
      </w:pPr>
      <w:r>
        <w:lastRenderedPageBreak/>
        <w:t>PART VII: VIOLENCE AGAINST WOMEN ACT (VAWA): NOTIFICATION, DOCUMENTATION, CONFIDENTIALITY</w:t>
      </w:r>
    </w:p>
    <w:p w14:paraId="16930767" w14:textId="77777777" w:rsidR="006C0C7C" w:rsidRDefault="005273D3">
      <w:pPr>
        <w:spacing w:before="79"/>
        <w:ind w:left="220"/>
        <w:rPr>
          <w:b/>
          <w:sz w:val="24"/>
        </w:rPr>
      </w:pPr>
      <w:bookmarkStart w:id="7" w:name="_Hlk31818974"/>
      <w:r>
        <w:rPr>
          <w:b/>
          <w:sz w:val="24"/>
        </w:rPr>
        <w:t>16-VII.A. OVERVIEW</w:t>
      </w:r>
    </w:p>
    <w:p w14:paraId="218FB8E9" w14:textId="77777777" w:rsidR="006C0C7C" w:rsidRDefault="006C0C7C">
      <w:pPr>
        <w:pStyle w:val="BodyText"/>
        <w:spacing w:before="1"/>
        <w:rPr>
          <w:b/>
          <w:sz w:val="21"/>
        </w:rPr>
      </w:pPr>
    </w:p>
    <w:p w14:paraId="21B588DB" w14:textId="77777777" w:rsidR="006C0C7C" w:rsidRDefault="005273D3">
      <w:pPr>
        <w:pStyle w:val="BodyText"/>
        <w:spacing w:line="276" w:lineRule="auto"/>
        <w:ind w:left="220" w:right="327"/>
      </w:pPr>
      <w:r>
        <w:t xml:space="preserve">The Violence against Women </w:t>
      </w:r>
      <w:r w:rsidR="00224E32">
        <w:t xml:space="preserve">Reauthorization </w:t>
      </w:r>
      <w:r>
        <w:t>Act of 20</w:t>
      </w:r>
      <w:r w:rsidR="00224E32">
        <w:t>13</w:t>
      </w:r>
      <w:r>
        <w:t xml:space="preserve"> (VAWA) provides special protections for victims of domestic violence, dating violence, and stalking who are applying for or receiving assistance under the housing choice voucher (HCV) program. If your state or local laws provide greater protection for such victims, those laws </w:t>
      </w:r>
      <w:r w:rsidR="00224E32">
        <w:t>apply in conjunction with</w:t>
      </w:r>
      <w:r>
        <w:t xml:space="preserve"> VAWA.</w:t>
      </w:r>
    </w:p>
    <w:p w14:paraId="4C4FF49A" w14:textId="77777777" w:rsidR="006C0C7C" w:rsidRDefault="005273D3">
      <w:pPr>
        <w:pStyle w:val="BodyText"/>
        <w:spacing w:before="199" w:line="276" w:lineRule="auto"/>
        <w:ind w:left="220" w:right="349"/>
      </w:pPr>
      <w:r>
        <w:t>In addition to definitions of key terms used in VAWA, this part contains general VAWA requirements and PHA policies in three areas: notification, documentation, and confidentiality. Specific VAWA requirements and PHA policies are located primarily in the following sections: Chapter 3, “Eligibility” (sections 3-I.C and 3-III.F); Chapter 5, “Occupancy Standards and Unit Offers” (section 5-II.D</w:t>
      </w:r>
      <w:r w:rsidR="00EE3DA8">
        <w:t>.</w:t>
      </w:r>
      <w:r>
        <w:t>); Chapter 8 “Leasing and Inspections” (section 8-I.B); Chapter 12,</w:t>
      </w:r>
    </w:p>
    <w:p w14:paraId="326796E1" w14:textId="77777777" w:rsidR="006C0C7C" w:rsidRDefault="005273D3">
      <w:pPr>
        <w:pStyle w:val="BodyText"/>
        <w:spacing w:before="1" w:line="276" w:lineRule="auto"/>
        <w:ind w:left="220" w:right="1442"/>
      </w:pPr>
      <w:r>
        <w:t>“Transfer Policy” (sections 12-III.C, 12-III.F, and 12-IV.D</w:t>
      </w:r>
      <w:r w:rsidR="00EE3DA8">
        <w:t>.</w:t>
      </w:r>
      <w:r>
        <w:t>); and Chapter 13, “Lease Terminations (sections 13-III.F and 13-IV.D</w:t>
      </w:r>
      <w:r w:rsidR="00EE3DA8">
        <w:t>.</w:t>
      </w:r>
      <w:r>
        <w:t>).</w:t>
      </w:r>
    </w:p>
    <w:p w14:paraId="4B1414E6" w14:textId="77777777" w:rsidR="006C0C7C" w:rsidRDefault="005273D3">
      <w:pPr>
        <w:pStyle w:val="Heading1"/>
        <w:spacing w:before="200"/>
      </w:pPr>
      <w:r>
        <w:t>16-VI</w:t>
      </w:r>
      <w:r w:rsidR="00224E32">
        <w:t>I</w:t>
      </w:r>
      <w:r>
        <w:t>.B. DEFINITIONS [24 CFR 5.2003</w:t>
      </w:r>
      <w:r w:rsidR="00224E32">
        <w:t>, FR Notice 8/6/13</w:t>
      </w:r>
      <w:r>
        <w:t>]</w:t>
      </w:r>
    </w:p>
    <w:p w14:paraId="5C728941" w14:textId="77777777" w:rsidR="006C0C7C" w:rsidRDefault="006C0C7C">
      <w:pPr>
        <w:pStyle w:val="BodyText"/>
        <w:spacing w:before="10"/>
        <w:rPr>
          <w:b/>
          <w:sz w:val="20"/>
        </w:rPr>
      </w:pPr>
    </w:p>
    <w:p w14:paraId="31086A51" w14:textId="77777777" w:rsidR="006C0C7C" w:rsidRDefault="005273D3">
      <w:pPr>
        <w:pStyle w:val="BodyText"/>
        <w:ind w:left="220"/>
      </w:pPr>
      <w:r>
        <w:t>As used in VAWA:</w:t>
      </w:r>
    </w:p>
    <w:p w14:paraId="2AE367E4" w14:textId="77777777" w:rsidR="006C0C7C" w:rsidRDefault="006C0C7C">
      <w:pPr>
        <w:pStyle w:val="BodyText"/>
        <w:spacing w:before="1"/>
        <w:rPr>
          <w:sz w:val="21"/>
        </w:rPr>
      </w:pPr>
    </w:p>
    <w:p w14:paraId="71154DB9" w14:textId="77777777" w:rsidR="00224E32" w:rsidRDefault="00224E32">
      <w:pPr>
        <w:pStyle w:val="ListParagraph"/>
        <w:numPr>
          <w:ilvl w:val="0"/>
          <w:numId w:val="5"/>
        </w:numPr>
        <w:tabs>
          <w:tab w:val="left" w:pos="940"/>
          <w:tab w:val="left" w:pos="941"/>
        </w:tabs>
        <w:spacing w:before="0" w:line="276" w:lineRule="auto"/>
        <w:ind w:right="314"/>
        <w:rPr>
          <w:sz w:val="24"/>
        </w:rPr>
      </w:pPr>
      <w:r>
        <w:rPr>
          <w:sz w:val="24"/>
        </w:rPr>
        <w:t>The term affiliated individual means, with respect to a person:</w:t>
      </w:r>
    </w:p>
    <w:p w14:paraId="59539F60" w14:textId="77777777" w:rsidR="00224E32" w:rsidRDefault="00224E32" w:rsidP="00224E32">
      <w:pPr>
        <w:pStyle w:val="ListParagraph"/>
        <w:numPr>
          <w:ilvl w:val="0"/>
          <w:numId w:val="7"/>
        </w:numPr>
        <w:tabs>
          <w:tab w:val="left" w:pos="940"/>
          <w:tab w:val="left" w:pos="941"/>
        </w:tabs>
        <w:spacing w:line="276" w:lineRule="auto"/>
        <w:ind w:right="314"/>
        <w:rPr>
          <w:sz w:val="24"/>
        </w:rPr>
      </w:pPr>
      <w:r>
        <w:rPr>
          <w:sz w:val="24"/>
        </w:rPr>
        <w:t>A spouse, parent, brother or sister, or child of that individual, or an individual to whom that person stands in the position or place of a parent; or</w:t>
      </w:r>
    </w:p>
    <w:p w14:paraId="781618BD" w14:textId="77777777" w:rsidR="00224E32" w:rsidRPr="00224E32" w:rsidRDefault="00224E32" w:rsidP="00224E32">
      <w:pPr>
        <w:pStyle w:val="ListParagraph"/>
        <w:numPr>
          <w:ilvl w:val="0"/>
          <w:numId w:val="7"/>
        </w:numPr>
        <w:tabs>
          <w:tab w:val="left" w:pos="940"/>
          <w:tab w:val="left" w:pos="941"/>
        </w:tabs>
        <w:spacing w:line="276" w:lineRule="auto"/>
        <w:ind w:right="314"/>
        <w:rPr>
          <w:sz w:val="24"/>
        </w:rPr>
      </w:pPr>
      <w:r>
        <w:rPr>
          <w:sz w:val="24"/>
        </w:rPr>
        <w:t>Any individual, tenant or lawful occupant living in the household of the victim of domestic violence, dating violence, sexual assault or stalking.</w:t>
      </w:r>
    </w:p>
    <w:p w14:paraId="02BFF5F6" w14:textId="77777777" w:rsidR="00224E32" w:rsidRDefault="00224E32" w:rsidP="00224E32">
      <w:pPr>
        <w:pStyle w:val="ListParagraph"/>
        <w:tabs>
          <w:tab w:val="left" w:pos="940"/>
          <w:tab w:val="left" w:pos="941"/>
        </w:tabs>
        <w:spacing w:before="0" w:line="276" w:lineRule="auto"/>
        <w:ind w:right="314" w:firstLine="0"/>
        <w:rPr>
          <w:sz w:val="24"/>
        </w:rPr>
      </w:pPr>
    </w:p>
    <w:p w14:paraId="194B960B" w14:textId="77777777" w:rsidR="006C0C7C" w:rsidRDefault="005273D3">
      <w:pPr>
        <w:pStyle w:val="ListParagraph"/>
        <w:numPr>
          <w:ilvl w:val="0"/>
          <w:numId w:val="5"/>
        </w:numPr>
        <w:tabs>
          <w:tab w:val="left" w:pos="940"/>
          <w:tab w:val="left" w:pos="941"/>
        </w:tabs>
        <w:spacing w:before="0" w:line="276" w:lineRule="auto"/>
        <w:ind w:right="314"/>
        <w:rPr>
          <w:sz w:val="24"/>
        </w:rPr>
      </w:pPr>
      <w:r>
        <w:rPr>
          <w:sz w:val="24"/>
        </w:rPr>
        <w:t xml:space="preserve">The term </w:t>
      </w:r>
      <w:r>
        <w:rPr>
          <w:i/>
          <w:sz w:val="24"/>
        </w:rPr>
        <w:t xml:space="preserve">bifurcate </w:t>
      </w:r>
      <w:r>
        <w:rPr>
          <w:sz w:val="24"/>
        </w:rPr>
        <w:t>means, with respect to a public housing or Section 8 lease, to divide</w:t>
      </w:r>
      <w:r>
        <w:rPr>
          <w:spacing w:val="-13"/>
          <w:sz w:val="24"/>
        </w:rPr>
        <w:t xml:space="preserve"> </w:t>
      </w:r>
      <w:r>
        <w:rPr>
          <w:sz w:val="24"/>
        </w:rPr>
        <w:t>a lease as a matter of law such that certain tenants can be evicted or removed while the remaining family members’ lease and occupancy rights can remain</w:t>
      </w:r>
      <w:r>
        <w:rPr>
          <w:spacing w:val="-6"/>
          <w:sz w:val="24"/>
        </w:rPr>
        <w:t xml:space="preserve"> </w:t>
      </w:r>
      <w:r>
        <w:rPr>
          <w:sz w:val="24"/>
        </w:rPr>
        <w:t>intact.</w:t>
      </w:r>
    </w:p>
    <w:p w14:paraId="03C7D5E8" w14:textId="77777777" w:rsidR="006C0C7C" w:rsidRDefault="005273D3">
      <w:pPr>
        <w:pStyle w:val="ListParagraph"/>
        <w:numPr>
          <w:ilvl w:val="0"/>
          <w:numId w:val="5"/>
        </w:numPr>
        <w:tabs>
          <w:tab w:val="left" w:pos="940"/>
          <w:tab w:val="left" w:pos="941"/>
        </w:tabs>
        <w:spacing w:line="276" w:lineRule="auto"/>
        <w:ind w:right="396"/>
        <w:rPr>
          <w:sz w:val="24"/>
        </w:rPr>
      </w:pPr>
      <w:r>
        <w:rPr>
          <w:sz w:val="24"/>
        </w:rPr>
        <w:t xml:space="preserve">The term </w:t>
      </w:r>
      <w:r>
        <w:rPr>
          <w:i/>
          <w:sz w:val="24"/>
        </w:rPr>
        <w:t xml:space="preserve">dating violence </w:t>
      </w:r>
      <w:r>
        <w:rPr>
          <w:sz w:val="24"/>
        </w:rPr>
        <w:t>means violence committed by a person who is or has been in</w:t>
      </w:r>
      <w:r>
        <w:rPr>
          <w:spacing w:val="-14"/>
          <w:sz w:val="24"/>
        </w:rPr>
        <w:t xml:space="preserve"> </w:t>
      </w:r>
      <w:r>
        <w:rPr>
          <w:sz w:val="24"/>
        </w:rPr>
        <w:t>a social relationship of a romantic or intimate nature with the victim; and where the existence of such a relationship shall be determined based on a consideration of the following</w:t>
      </w:r>
      <w:r>
        <w:rPr>
          <w:spacing w:val="-3"/>
          <w:sz w:val="24"/>
        </w:rPr>
        <w:t xml:space="preserve"> </w:t>
      </w:r>
      <w:r>
        <w:rPr>
          <w:sz w:val="24"/>
        </w:rPr>
        <w:t>factors:</w:t>
      </w:r>
    </w:p>
    <w:p w14:paraId="2465C85A" w14:textId="77777777" w:rsidR="006C0C7C" w:rsidRDefault="005273D3">
      <w:pPr>
        <w:pStyle w:val="ListParagraph"/>
        <w:numPr>
          <w:ilvl w:val="0"/>
          <w:numId w:val="4"/>
        </w:numPr>
        <w:tabs>
          <w:tab w:val="left" w:pos="2380"/>
          <w:tab w:val="left" w:pos="2381"/>
        </w:tabs>
        <w:rPr>
          <w:sz w:val="24"/>
        </w:rPr>
      </w:pPr>
      <w:r>
        <w:rPr>
          <w:sz w:val="24"/>
        </w:rPr>
        <w:t>The length of the</w:t>
      </w:r>
      <w:r>
        <w:rPr>
          <w:spacing w:val="-2"/>
          <w:sz w:val="24"/>
        </w:rPr>
        <w:t xml:space="preserve"> </w:t>
      </w:r>
      <w:r>
        <w:rPr>
          <w:sz w:val="24"/>
        </w:rPr>
        <w:t>relationship</w:t>
      </w:r>
    </w:p>
    <w:p w14:paraId="6FC3D878" w14:textId="77777777" w:rsidR="006C0C7C" w:rsidRDefault="006C0C7C">
      <w:pPr>
        <w:pStyle w:val="BodyText"/>
        <w:rPr>
          <w:sz w:val="21"/>
        </w:rPr>
      </w:pPr>
    </w:p>
    <w:p w14:paraId="47546124" w14:textId="77777777" w:rsidR="006C0C7C" w:rsidRDefault="005273D3">
      <w:pPr>
        <w:pStyle w:val="ListParagraph"/>
        <w:numPr>
          <w:ilvl w:val="0"/>
          <w:numId w:val="4"/>
        </w:numPr>
        <w:tabs>
          <w:tab w:val="left" w:pos="2380"/>
          <w:tab w:val="left" w:pos="2381"/>
        </w:tabs>
        <w:spacing w:before="1"/>
        <w:rPr>
          <w:sz w:val="24"/>
        </w:rPr>
      </w:pPr>
      <w:r>
        <w:rPr>
          <w:sz w:val="24"/>
        </w:rPr>
        <w:t>The type of</w:t>
      </w:r>
      <w:r>
        <w:rPr>
          <w:spacing w:val="-4"/>
          <w:sz w:val="24"/>
        </w:rPr>
        <w:t xml:space="preserve"> </w:t>
      </w:r>
      <w:r>
        <w:rPr>
          <w:sz w:val="24"/>
        </w:rPr>
        <w:t>relationship</w:t>
      </w:r>
    </w:p>
    <w:p w14:paraId="0B1F6B23" w14:textId="77777777" w:rsidR="006C0C7C" w:rsidRDefault="006C0C7C">
      <w:pPr>
        <w:pStyle w:val="BodyText"/>
        <w:spacing w:before="9"/>
        <w:rPr>
          <w:sz w:val="20"/>
        </w:rPr>
      </w:pPr>
    </w:p>
    <w:p w14:paraId="4F5DD503" w14:textId="77777777" w:rsidR="006C0C7C" w:rsidRDefault="005273D3">
      <w:pPr>
        <w:pStyle w:val="ListParagraph"/>
        <w:numPr>
          <w:ilvl w:val="0"/>
          <w:numId w:val="4"/>
        </w:numPr>
        <w:tabs>
          <w:tab w:val="left" w:pos="2380"/>
          <w:tab w:val="left" w:pos="2381"/>
        </w:tabs>
        <w:spacing w:before="1" w:line="278" w:lineRule="auto"/>
        <w:ind w:right="1176"/>
        <w:rPr>
          <w:sz w:val="24"/>
        </w:rPr>
      </w:pPr>
      <w:r>
        <w:rPr>
          <w:sz w:val="24"/>
        </w:rPr>
        <w:t>The frequency of interaction between the persons involved in</w:t>
      </w:r>
      <w:r>
        <w:rPr>
          <w:spacing w:val="-11"/>
          <w:sz w:val="24"/>
        </w:rPr>
        <w:t xml:space="preserve"> </w:t>
      </w:r>
      <w:r>
        <w:rPr>
          <w:sz w:val="24"/>
        </w:rPr>
        <w:t>the relationship</w:t>
      </w:r>
    </w:p>
    <w:p w14:paraId="5DC1AFE0" w14:textId="77777777" w:rsidR="00224E32" w:rsidRPr="00224E32" w:rsidRDefault="00224E32" w:rsidP="00224E32">
      <w:pPr>
        <w:pStyle w:val="ListParagraph"/>
        <w:rPr>
          <w:sz w:val="24"/>
        </w:rPr>
      </w:pPr>
    </w:p>
    <w:p w14:paraId="6A8511C5" w14:textId="77777777" w:rsidR="006C0C7C" w:rsidRDefault="005273D3">
      <w:pPr>
        <w:pStyle w:val="ListParagraph"/>
        <w:numPr>
          <w:ilvl w:val="0"/>
          <w:numId w:val="5"/>
        </w:numPr>
        <w:tabs>
          <w:tab w:val="left" w:pos="940"/>
          <w:tab w:val="left" w:pos="941"/>
        </w:tabs>
        <w:spacing w:before="195" w:line="276" w:lineRule="auto"/>
        <w:ind w:right="253"/>
        <w:rPr>
          <w:sz w:val="24"/>
        </w:rPr>
      </w:pPr>
      <w:r>
        <w:rPr>
          <w:sz w:val="24"/>
        </w:rPr>
        <w:lastRenderedPageBreak/>
        <w:t xml:space="preserve">The term </w:t>
      </w:r>
      <w:r>
        <w:rPr>
          <w:i/>
          <w:sz w:val="24"/>
        </w:rPr>
        <w:t xml:space="preserve">domestic violence </w:t>
      </w:r>
      <w:r>
        <w:rPr>
          <w:sz w:val="24"/>
        </w:rPr>
        <w:t xml:space="preserve">includes felony or misdemeanor crimes of violence committed by a current or former spouse </w:t>
      </w:r>
      <w:r w:rsidR="00224E32">
        <w:rPr>
          <w:sz w:val="24"/>
        </w:rPr>
        <w:t xml:space="preserve">or intimate partner </w:t>
      </w:r>
      <w:r>
        <w:rPr>
          <w:sz w:val="24"/>
        </w:rPr>
        <w:t>of the victim, by a person with whom the victim shares a child in common, by a person who is cohabitating with or has cohabitated with the victim as a spouse</w:t>
      </w:r>
      <w:r w:rsidR="00224E32">
        <w:rPr>
          <w:sz w:val="24"/>
        </w:rPr>
        <w:t xml:space="preserve"> or intimate partner</w:t>
      </w:r>
      <w:r>
        <w:rPr>
          <w:sz w:val="24"/>
        </w:rPr>
        <w:t>, by a person similarly situated to a spouse of the victim under the domestic or family violence laws of the jurisdiction receiving grant monies, or by any other person against an adult or youth victim who is protected from that person’s acts under the domestic or family violence laws of the</w:t>
      </w:r>
      <w:r>
        <w:rPr>
          <w:spacing w:val="-11"/>
          <w:sz w:val="24"/>
        </w:rPr>
        <w:t xml:space="preserve"> </w:t>
      </w:r>
      <w:r>
        <w:rPr>
          <w:sz w:val="24"/>
        </w:rPr>
        <w:t>jurisdiction.</w:t>
      </w:r>
    </w:p>
    <w:p w14:paraId="0E0793E7" w14:textId="77777777" w:rsidR="00224E32" w:rsidRDefault="00224E32" w:rsidP="00224E32">
      <w:pPr>
        <w:pStyle w:val="ListParagraph"/>
        <w:numPr>
          <w:ilvl w:val="0"/>
          <w:numId w:val="5"/>
        </w:numPr>
        <w:tabs>
          <w:tab w:val="left" w:pos="940"/>
          <w:tab w:val="left" w:pos="941"/>
        </w:tabs>
        <w:spacing w:before="195" w:line="276" w:lineRule="auto"/>
        <w:ind w:right="253"/>
        <w:rPr>
          <w:sz w:val="24"/>
        </w:rPr>
      </w:pPr>
      <w:bookmarkStart w:id="8" w:name="_Hlk14775847"/>
      <w:r>
        <w:rPr>
          <w:sz w:val="24"/>
        </w:rPr>
        <w:t xml:space="preserve">The term </w:t>
      </w:r>
      <w:r w:rsidRPr="00224E32">
        <w:rPr>
          <w:i/>
          <w:sz w:val="24"/>
        </w:rPr>
        <w:t>sexual assault</w:t>
      </w:r>
      <w:r>
        <w:rPr>
          <w:sz w:val="24"/>
        </w:rPr>
        <w:t xml:space="preserve"> means:</w:t>
      </w:r>
    </w:p>
    <w:p w14:paraId="53C1B685" w14:textId="77777777" w:rsidR="00224E32" w:rsidRPr="00224E32" w:rsidRDefault="00224E32" w:rsidP="00224E32">
      <w:pPr>
        <w:pStyle w:val="ListParagraph"/>
        <w:numPr>
          <w:ilvl w:val="0"/>
          <w:numId w:val="9"/>
        </w:numPr>
        <w:tabs>
          <w:tab w:val="left" w:pos="940"/>
          <w:tab w:val="left" w:pos="941"/>
        </w:tabs>
        <w:spacing w:before="195" w:line="276" w:lineRule="auto"/>
        <w:ind w:right="253"/>
        <w:rPr>
          <w:sz w:val="24"/>
        </w:rPr>
      </w:pPr>
      <w:r w:rsidRPr="00224E32">
        <w:rPr>
          <w:sz w:val="24"/>
        </w:rPr>
        <w:t>Any nonconsensual sexual act proscribed by Federal, tribal, or State law, including when the victim lacks the capacity to consent</w:t>
      </w:r>
    </w:p>
    <w:bookmarkEnd w:id="8"/>
    <w:p w14:paraId="4983EF99" w14:textId="77777777" w:rsidR="006C0C7C" w:rsidRDefault="005273D3">
      <w:pPr>
        <w:pStyle w:val="ListParagraph"/>
        <w:numPr>
          <w:ilvl w:val="0"/>
          <w:numId w:val="5"/>
        </w:numPr>
        <w:tabs>
          <w:tab w:val="left" w:pos="940"/>
          <w:tab w:val="left" w:pos="941"/>
        </w:tabs>
        <w:rPr>
          <w:sz w:val="24"/>
        </w:rPr>
      </w:pPr>
      <w:r>
        <w:rPr>
          <w:sz w:val="24"/>
        </w:rPr>
        <w:t xml:space="preserve">The term </w:t>
      </w:r>
      <w:r>
        <w:rPr>
          <w:i/>
          <w:sz w:val="24"/>
        </w:rPr>
        <w:t>stalking</w:t>
      </w:r>
      <w:r>
        <w:rPr>
          <w:i/>
          <w:spacing w:val="-3"/>
          <w:sz w:val="24"/>
        </w:rPr>
        <w:t xml:space="preserve"> </w:t>
      </w:r>
      <w:r>
        <w:rPr>
          <w:sz w:val="24"/>
        </w:rPr>
        <w:t>means:</w:t>
      </w:r>
    </w:p>
    <w:p w14:paraId="658B8DE8" w14:textId="77777777" w:rsidR="006C0C7C" w:rsidRDefault="00224E32">
      <w:pPr>
        <w:pStyle w:val="ListParagraph"/>
        <w:numPr>
          <w:ilvl w:val="0"/>
          <w:numId w:val="2"/>
        </w:numPr>
        <w:tabs>
          <w:tab w:val="left" w:pos="2380"/>
          <w:tab w:val="left" w:pos="2381"/>
        </w:tabs>
        <w:spacing w:before="201" w:line="276" w:lineRule="auto"/>
        <w:ind w:right="384"/>
        <w:rPr>
          <w:sz w:val="24"/>
        </w:rPr>
      </w:pPr>
      <w:r>
        <w:rPr>
          <w:sz w:val="24"/>
        </w:rPr>
        <w:t>To engage in a course of conduct directed at a specific person that would cause a reasonable person to fear for his or her safety or the safety of others, or suffer substantial emotional distress.</w:t>
      </w:r>
    </w:p>
    <w:p w14:paraId="35CFE881" w14:textId="77777777" w:rsidR="006C0C7C" w:rsidRDefault="005273D3">
      <w:pPr>
        <w:pStyle w:val="Heading1"/>
        <w:spacing w:before="198"/>
      </w:pPr>
      <w:r>
        <w:t>16-V</w:t>
      </w:r>
      <w:r w:rsidR="00EE3DA8">
        <w:t>I</w:t>
      </w:r>
      <w:r>
        <w:t>I.C. NOTIFICATION [24 CFR 5.2005(a)]</w:t>
      </w:r>
    </w:p>
    <w:p w14:paraId="041773EF" w14:textId="77777777" w:rsidR="006C0C7C" w:rsidRDefault="006C0C7C">
      <w:pPr>
        <w:pStyle w:val="BodyText"/>
        <w:spacing w:before="1"/>
        <w:rPr>
          <w:b/>
          <w:sz w:val="21"/>
        </w:rPr>
      </w:pPr>
    </w:p>
    <w:p w14:paraId="12C74DDA" w14:textId="77777777" w:rsidR="006C0C7C" w:rsidRDefault="005273D3">
      <w:pPr>
        <w:ind w:left="220"/>
        <w:rPr>
          <w:b/>
          <w:sz w:val="24"/>
        </w:rPr>
      </w:pPr>
      <w:bookmarkStart w:id="9" w:name="_Hlk14782355"/>
      <w:r>
        <w:rPr>
          <w:b/>
          <w:sz w:val="24"/>
        </w:rPr>
        <w:t>Notification to Public</w:t>
      </w:r>
    </w:p>
    <w:p w14:paraId="03025640" w14:textId="77777777" w:rsidR="006C0C7C" w:rsidRDefault="006C0C7C">
      <w:pPr>
        <w:pStyle w:val="BodyText"/>
        <w:spacing w:before="10"/>
        <w:rPr>
          <w:b/>
          <w:sz w:val="20"/>
        </w:rPr>
      </w:pPr>
    </w:p>
    <w:p w14:paraId="0BB3959E" w14:textId="77777777" w:rsidR="006C0C7C" w:rsidRDefault="005273D3">
      <w:pPr>
        <w:pStyle w:val="BodyText"/>
        <w:spacing w:line="278" w:lineRule="auto"/>
        <w:ind w:left="220" w:right="342"/>
      </w:pPr>
      <w:r>
        <w:t>The PHA adopts the following policy to help ensure that all actual and potential beneficiaries of its public housing program are aware of their rights under VAWA.</w:t>
      </w:r>
    </w:p>
    <w:p w14:paraId="037F8301" w14:textId="77777777" w:rsidR="006C0C7C" w:rsidRPr="00680C5F" w:rsidRDefault="005273D3" w:rsidP="00680C5F">
      <w:pPr>
        <w:pStyle w:val="BodyText"/>
        <w:spacing w:before="196"/>
        <w:ind w:left="220" w:firstLine="500"/>
        <w:rPr>
          <w:b/>
          <w:bCs/>
          <w:u w:val="single"/>
        </w:rPr>
      </w:pPr>
      <w:r w:rsidRPr="00680C5F">
        <w:rPr>
          <w:b/>
          <w:bCs/>
          <w:u w:val="single"/>
        </w:rPr>
        <w:t>MHA Policy</w:t>
      </w:r>
    </w:p>
    <w:p w14:paraId="4DD1751A" w14:textId="77777777" w:rsidR="006C0C7C" w:rsidRDefault="006C0C7C">
      <w:pPr>
        <w:pStyle w:val="BodyText"/>
        <w:rPr>
          <w:sz w:val="21"/>
        </w:rPr>
      </w:pPr>
    </w:p>
    <w:p w14:paraId="7786366B" w14:textId="77777777" w:rsidR="006C0C7C" w:rsidRDefault="005273D3">
      <w:pPr>
        <w:pStyle w:val="BodyText"/>
        <w:spacing w:before="1" w:line="276" w:lineRule="auto"/>
        <w:ind w:left="940" w:right="327"/>
      </w:pPr>
      <w:r>
        <w:t>The PHA will make the following information readily available to anyone who requests it.</w:t>
      </w:r>
    </w:p>
    <w:p w14:paraId="72E2A738" w14:textId="77777777" w:rsidR="006C0C7C" w:rsidRDefault="006C0C7C">
      <w:pPr>
        <w:pStyle w:val="BodyText"/>
        <w:spacing w:before="7"/>
        <w:rPr>
          <w:sz w:val="9"/>
        </w:rPr>
      </w:pPr>
    </w:p>
    <w:p w14:paraId="7C361563" w14:textId="77777777" w:rsidR="006C0C7C" w:rsidRDefault="005273D3">
      <w:pPr>
        <w:pStyle w:val="BodyText"/>
        <w:spacing w:before="90" w:line="276" w:lineRule="auto"/>
        <w:ind w:left="1660" w:right="315"/>
      </w:pPr>
      <w:r>
        <w:t xml:space="preserve">A summary of the rights and protections provided by VAWA to </w:t>
      </w:r>
      <w:r w:rsidR="00F90316">
        <w:t>public housing</w:t>
      </w:r>
      <w:r>
        <w:t xml:space="preserve"> program applicants and participants who are or have been victims of domestic violence, dating violence,</w:t>
      </w:r>
      <w:r w:rsidR="00A1100D">
        <w:t xml:space="preserve"> sexual assault</w:t>
      </w:r>
      <w:r>
        <w:t xml:space="preserve"> or stalking (</w:t>
      </w:r>
      <w:r w:rsidR="00A1100D">
        <w:t>Form HUD 5380,</w:t>
      </w:r>
      <w:r>
        <w:t xml:space="preserve"> Exhibits 16</w:t>
      </w:r>
      <w:r w:rsidR="00A1100D">
        <w:t>-</w:t>
      </w:r>
      <w:r>
        <w:t>1)</w:t>
      </w:r>
    </w:p>
    <w:p w14:paraId="41DF7585" w14:textId="77777777" w:rsidR="006C0C7C" w:rsidRDefault="005273D3">
      <w:pPr>
        <w:pStyle w:val="BodyText"/>
        <w:spacing w:before="199" w:line="276" w:lineRule="auto"/>
        <w:ind w:left="1660" w:right="561"/>
      </w:pPr>
      <w:r>
        <w:t>The definitions of domestic violence, dating violence,</w:t>
      </w:r>
      <w:r w:rsidR="00A1100D">
        <w:t xml:space="preserve"> sexual assault</w:t>
      </w:r>
      <w:r>
        <w:t xml:space="preserve"> and stalking provided in VAWA (included in Exhibits 16-1)</w:t>
      </w:r>
    </w:p>
    <w:p w14:paraId="34AC4137" w14:textId="77777777" w:rsidR="006C0C7C" w:rsidRDefault="005273D3">
      <w:pPr>
        <w:pStyle w:val="BodyText"/>
        <w:spacing w:before="201" w:line="276" w:lineRule="auto"/>
        <w:ind w:left="1660" w:right="428"/>
      </w:pPr>
      <w:r>
        <w:t>An explanation of the documentation that the PHA may require from an individual who claims the protections provided by VAWA (included in Exhibits 16-1)</w:t>
      </w:r>
    </w:p>
    <w:p w14:paraId="4F4EA2E9" w14:textId="77777777" w:rsidR="006C0C7C" w:rsidRDefault="005273D3" w:rsidP="00A1100D">
      <w:pPr>
        <w:pStyle w:val="BodyText"/>
        <w:spacing w:before="200" w:line="276" w:lineRule="auto"/>
        <w:ind w:left="1660" w:right="1101"/>
        <w:sectPr w:rsidR="006C0C7C">
          <w:pgSz w:w="12240" w:h="15840"/>
          <w:pgMar w:top="1360" w:right="1220" w:bottom="920" w:left="1220" w:header="0" w:footer="739" w:gutter="0"/>
          <w:cols w:space="720"/>
        </w:sectPr>
      </w:pPr>
      <w:r>
        <w:t>A copy of form HUD-5</w:t>
      </w:r>
      <w:r w:rsidR="00A1100D">
        <w:t>382</w:t>
      </w:r>
      <w:r>
        <w:t>, Certification of Domestic Violence, Dating Violence,</w:t>
      </w:r>
      <w:r w:rsidR="00A1100D">
        <w:t xml:space="preserve"> Sexual Assault</w:t>
      </w:r>
      <w:r>
        <w:t xml:space="preserve"> or Stalking</w:t>
      </w:r>
      <w:r w:rsidR="00A1100D">
        <w:t xml:space="preserve"> (Exhibit 16-2)</w:t>
      </w:r>
    </w:p>
    <w:p w14:paraId="16CCACDF" w14:textId="77777777" w:rsidR="006C0C7C" w:rsidRDefault="005273D3">
      <w:pPr>
        <w:pStyle w:val="BodyText"/>
        <w:spacing w:before="79" w:line="276" w:lineRule="auto"/>
        <w:ind w:left="1660" w:right="408"/>
      </w:pPr>
      <w:r>
        <w:lastRenderedPageBreak/>
        <w:t>A statement of the PHA’s obligation to keep confidential any information that it receives from a victim unless (a) the PHA has the victim’s written permission to release the information, (b) it needs to use the information in an eviction proceeding, or (c) it is compelled by law to release the information (included in Exhibits 16-1)</w:t>
      </w:r>
    </w:p>
    <w:p w14:paraId="4510B3E3" w14:textId="77777777" w:rsidR="00A1100D" w:rsidRDefault="00A1100D">
      <w:pPr>
        <w:pStyle w:val="BodyText"/>
        <w:spacing w:before="79" w:line="276" w:lineRule="auto"/>
        <w:ind w:left="1660" w:right="408"/>
      </w:pPr>
      <w:r>
        <w:t>A copy of the PHA’s emergency transfer plant (Exhibit 16-3)</w:t>
      </w:r>
    </w:p>
    <w:p w14:paraId="2CD1F33E" w14:textId="77777777" w:rsidR="00A1100D" w:rsidRDefault="00A1100D" w:rsidP="00A1100D">
      <w:pPr>
        <w:pStyle w:val="BodyText"/>
        <w:spacing w:before="79" w:line="276" w:lineRule="auto"/>
        <w:ind w:left="1660" w:right="408"/>
      </w:pPr>
      <w:r>
        <w:t>A copy of HUD’s Emergency Transfer Request for Certain Victims of Domestic Violence, Dating Violence, Sexual Assault or Stalking for HUD-5383 (Exhibit 16-4)</w:t>
      </w:r>
      <w:r>
        <w:tab/>
      </w:r>
      <w:r>
        <w:tab/>
      </w:r>
      <w:r>
        <w:tab/>
      </w:r>
    </w:p>
    <w:p w14:paraId="0D6D5AF5" w14:textId="77777777" w:rsidR="006C0C7C" w:rsidRDefault="005273D3">
      <w:pPr>
        <w:pStyle w:val="BodyText"/>
        <w:spacing w:before="201" w:line="276" w:lineRule="auto"/>
        <w:ind w:left="1660" w:right="599"/>
      </w:pPr>
      <w:r>
        <w:t>The National Domestic Violence Hot Line: 1-800-799-SAFE (7233) or 1-800- 787-3224 (TTY) (included in Exhibits 16-1)</w:t>
      </w:r>
    </w:p>
    <w:p w14:paraId="37471CC8" w14:textId="77777777" w:rsidR="006C0C7C" w:rsidRDefault="005273D3">
      <w:pPr>
        <w:pStyle w:val="BodyText"/>
        <w:spacing w:before="198"/>
        <w:ind w:left="1660"/>
      </w:pPr>
      <w:r>
        <w:t>Contact information for local victim advocacy groups or service providers.</w:t>
      </w:r>
    </w:p>
    <w:bookmarkEnd w:id="9"/>
    <w:p w14:paraId="3E27EBD7" w14:textId="77777777" w:rsidR="006C0C7C" w:rsidRDefault="006C0C7C">
      <w:pPr>
        <w:pStyle w:val="BodyText"/>
        <w:spacing w:before="1"/>
        <w:rPr>
          <w:sz w:val="21"/>
        </w:rPr>
      </w:pPr>
    </w:p>
    <w:p w14:paraId="1C8F6003" w14:textId="77777777" w:rsidR="006C0C7C" w:rsidRDefault="005273D3">
      <w:pPr>
        <w:pStyle w:val="Heading1"/>
      </w:pPr>
      <w:r>
        <w:t>Notification to Program Applicants and Participants [24 CFR 5.2005(a)(1)]</w:t>
      </w:r>
    </w:p>
    <w:p w14:paraId="436322D0" w14:textId="77777777" w:rsidR="006C0C7C" w:rsidRDefault="006C0C7C">
      <w:pPr>
        <w:pStyle w:val="BodyText"/>
        <w:spacing w:before="11"/>
        <w:rPr>
          <w:b/>
          <w:sz w:val="20"/>
        </w:rPr>
      </w:pPr>
    </w:p>
    <w:p w14:paraId="4D3B6997" w14:textId="77777777" w:rsidR="006C0C7C" w:rsidRDefault="005273D3">
      <w:pPr>
        <w:pStyle w:val="BodyText"/>
        <w:ind w:left="220" w:right="315"/>
      </w:pPr>
      <w:bookmarkStart w:id="10" w:name="_Hlk14775988"/>
      <w:r>
        <w:t>PHAs are required to inform public housing applicants and tenants of their rights under VAWA, including their right to confidentiality and the limits thereof, when they are denied assistance, when they are admitted to the program, and when they are notified of an eviction or termination of housing benefits.</w:t>
      </w:r>
    </w:p>
    <w:p w14:paraId="7B4EB280" w14:textId="77777777" w:rsidR="00E150B8" w:rsidRDefault="00E150B8">
      <w:pPr>
        <w:pStyle w:val="BodyText"/>
        <w:ind w:left="220" w:right="315"/>
      </w:pPr>
    </w:p>
    <w:p w14:paraId="1522C0E1" w14:textId="77777777" w:rsidR="00E150B8" w:rsidRDefault="00E150B8">
      <w:pPr>
        <w:pStyle w:val="BodyText"/>
        <w:ind w:left="220" w:right="315"/>
      </w:pPr>
      <w:r>
        <w:t>The PHA must distribute a notice of VAWA rights, along with the VAWA self-certification form (HUD 50066) at each of these three junctures.</w:t>
      </w:r>
    </w:p>
    <w:p w14:paraId="714E2C43" w14:textId="77777777" w:rsidR="006C0C7C" w:rsidRDefault="006C0C7C">
      <w:pPr>
        <w:pStyle w:val="BodyText"/>
      </w:pPr>
    </w:p>
    <w:p w14:paraId="5F04ECD7" w14:textId="77777777" w:rsidR="006C0C7C" w:rsidRDefault="005273D3">
      <w:pPr>
        <w:pStyle w:val="Heading1"/>
        <w:ind w:left="940"/>
      </w:pPr>
      <w:r>
        <w:rPr>
          <w:u w:val="thick"/>
        </w:rPr>
        <w:t>MHA Policy</w:t>
      </w:r>
    </w:p>
    <w:p w14:paraId="5AFEE086" w14:textId="77777777" w:rsidR="006C0C7C" w:rsidRDefault="006C0C7C">
      <w:pPr>
        <w:pStyle w:val="BodyText"/>
        <w:spacing w:before="2"/>
        <w:rPr>
          <w:b/>
          <w:sz w:val="16"/>
        </w:rPr>
      </w:pPr>
    </w:p>
    <w:p w14:paraId="7EF86E82" w14:textId="77777777" w:rsidR="003B7F96" w:rsidRDefault="003B7F96" w:rsidP="003B7F96">
      <w:pPr>
        <w:pStyle w:val="BodyText"/>
        <w:ind w:left="940" w:right="215"/>
      </w:pPr>
      <w:r>
        <w:t>The VAWA information provided to applicants and tenants will consist of the notice in Exhibit 16-1 and a copy of form HUD-50066, Certification of Domestic Violence, Dating Violence, Sexual Assault, and Stalking.</w:t>
      </w:r>
    </w:p>
    <w:p w14:paraId="1BB47EC5" w14:textId="12520CD1" w:rsidR="006C0C7C" w:rsidRDefault="005273D3">
      <w:pPr>
        <w:pStyle w:val="BodyText"/>
        <w:spacing w:before="90"/>
        <w:ind w:left="940" w:right="741"/>
      </w:pPr>
      <w:r>
        <w:t>The PHA will provide all applicants with information about VAWA at the time they request an application for housing assistance. The PHA will also include such information in all notices of denial of assistance (see section 3-III.F</w:t>
      </w:r>
      <w:r w:rsidR="00027397">
        <w:t>.</w:t>
      </w:r>
      <w:r>
        <w:t>).</w:t>
      </w:r>
    </w:p>
    <w:p w14:paraId="767003AF" w14:textId="77777777" w:rsidR="006C0C7C" w:rsidRDefault="006C0C7C">
      <w:pPr>
        <w:pStyle w:val="BodyText"/>
      </w:pPr>
    </w:p>
    <w:p w14:paraId="424A52A6" w14:textId="5A9E9F4C" w:rsidR="006C0C7C" w:rsidRDefault="005273D3">
      <w:pPr>
        <w:pStyle w:val="BodyText"/>
        <w:ind w:left="940" w:right="214"/>
      </w:pPr>
      <w:r>
        <w:t>The PHA will provide all tenants with information about VAWA at the time of admission (see section 8-I.B) and at annual reexamination. The PHA will also include such information in all lease termination notices (see section 13-IV.D</w:t>
      </w:r>
      <w:r w:rsidR="00027397">
        <w:t>.</w:t>
      </w:r>
      <w:r>
        <w:t>).</w:t>
      </w:r>
    </w:p>
    <w:p w14:paraId="385190BC" w14:textId="77777777" w:rsidR="006C0C7C" w:rsidRDefault="006C0C7C">
      <w:pPr>
        <w:pStyle w:val="BodyText"/>
        <w:spacing w:before="4"/>
        <w:rPr>
          <w:sz w:val="23"/>
        </w:rPr>
      </w:pPr>
    </w:p>
    <w:p w14:paraId="2C2A3B63" w14:textId="6ABB0E20" w:rsidR="006C0C7C" w:rsidRDefault="005273D3">
      <w:pPr>
        <w:pStyle w:val="BodyText"/>
        <w:spacing w:line="276" w:lineRule="auto"/>
        <w:ind w:left="220" w:right="149"/>
      </w:pPr>
      <w:r>
        <w:t>The PHA is not limited to providing VAWA information at the times specified in the above policy. If the PHA decides to provide VAWA information to a tenant following an incident of domestic violence, Notice PIH 2006-42 cautions against sending the information by mail, since the abuser may be monitoring the mail. The notice recommends that in such cases the PHA make alternative delivery arrangements that will not put the victim at risk.</w:t>
      </w:r>
    </w:p>
    <w:p w14:paraId="2519C774" w14:textId="69058135" w:rsidR="00027397" w:rsidRDefault="00027397">
      <w:pPr>
        <w:pStyle w:val="BodyText"/>
        <w:spacing w:line="276" w:lineRule="auto"/>
        <w:ind w:left="220" w:right="149"/>
      </w:pPr>
    </w:p>
    <w:p w14:paraId="133AC6D1" w14:textId="77777777" w:rsidR="00027397" w:rsidRDefault="00027397">
      <w:pPr>
        <w:pStyle w:val="BodyText"/>
        <w:spacing w:line="276" w:lineRule="auto"/>
        <w:ind w:left="220" w:right="149"/>
      </w:pPr>
    </w:p>
    <w:p w14:paraId="6B351C8E" w14:textId="77777777" w:rsidR="006C0C7C" w:rsidRDefault="005273D3">
      <w:pPr>
        <w:pStyle w:val="Heading1"/>
        <w:spacing w:before="202"/>
        <w:ind w:left="940"/>
      </w:pPr>
      <w:r>
        <w:rPr>
          <w:u w:val="thick"/>
        </w:rPr>
        <w:lastRenderedPageBreak/>
        <w:t>MHA Policy</w:t>
      </w:r>
    </w:p>
    <w:p w14:paraId="6F955A63" w14:textId="77777777" w:rsidR="006C0C7C" w:rsidRDefault="006C0C7C">
      <w:pPr>
        <w:pStyle w:val="BodyText"/>
        <w:spacing w:before="10"/>
        <w:rPr>
          <w:b/>
          <w:sz w:val="20"/>
        </w:rPr>
      </w:pPr>
    </w:p>
    <w:p w14:paraId="4FB969E5" w14:textId="77777777" w:rsidR="006C0C7C" w:rsidRDefault="005273D3">
      <w:pPr>
        <w:pStyle w:val="BodyText"/>
        <w:spacing w:line="276" w:lineRule="auto"/>
        <w:ind w:left="940" w:right="321"/>
      </w:pPr>
      <w:r>
        <w:t>Whenever the PHA has reason to suspect that providing information about VAWA to a public housing tenant might place a victim of domestic violence at risk, it will attempt to deliver the information by hand directly to the victim</w:t>
      </w:r>
      <w:r w:rsidR="00610E4C">
        <w:t xml:space="preserve"> or by having come to an office or other space that may be safer for the individual, making reasonable accommodations as necessary. For example, the PHA may decide not to send mail regarding VAWA protections to the victim’s unit if the PHA believes the perpetrator may have access to the victim’s mail, unless requested by the victim. </w:t>
      </w:r>
    </w:p>
    <w:p w14:paraId="17205F9E" w14:textId="77777777" w:rsidR="00610E4C" w:rsidRDefault="00610E4C">
      <w:pPr>
        <w:pStyle w:val="BodyText"/>
        <w:spacing w:line="276" w:lineRule="auto"/>
        <w:ind w:left="940" w:right="321"/>
      </w:pPr>
    </w:p>
    <w:p w14:paraId="5000F9AD" w14:textId="77777777" w:rsidR="00610E4C" w:rsidRDefault="00610E4C">
      <w:pPr>
        <w:pStyle w:val="BodyText"/>
        <w:spacing w:line="276" w:lineRule="auto"/>
        <w:ind w:left="940" w:right="321"/>
      </w:pPr>
      <w:r>
        <w:t xml:space="preserve">When discussing VAWA with the victim, the PHA will take reasonable precautions to ensure that no one can overhear the conversation such as having conversations in a private room. </w:t>
      </w:r>
    </w:p>
    <w:p w14:paraId="5077546A" w14:textId="77777777" w:rsidR="00610E4C" w:rsidRDefault="00610E4C">
      <w:pPr>
        <w:pStyle w:val="BodyText"/>
        <w:spacing w:line="276" w:lineRule="auto"/>
        <w:ind w:left="940" w:right="321"/>
      </w:pPr>
    </w:p>
    <w:p w14:paraId="0CEE35EF" w14:textId="77777777" w:rsidR="00610E4C" w:rsidRDefault="00610E4C">
      <w:pPr>
        <w:pStyle w:val="BodyText"/>
        <w:spacing w:line="276" w:lineRule="auto"/>
        <w:ind w:left="940" w:right="321"/>
      </w:pPr>
      <w:r>
        <w:t>The victim may, but is not required to, designate an attorney, advocate or other source of contact for communications regarding VAWA protections.</w:t>
      </w:r>
    </w:p>
    <w:bookmarkEnd w:id="10"/>
    <w:p w14:paraId="2997D9FB" w14:textId="77777777" w:rsidR="003B7F96" w:rsidRDefault="003B7F96">
      <w:pPr>
        <w:pStyle w:val="BodyText"/>
        <w:spacing w:line="276" w:lineRule="auto"/>
        <w:ind w:left="940" w:right="321"/>
      </w:pPr>
    </w:p>
    <w:p w14:paraId="419248F3" w14:textId="77777777" w:rsidR="006C0C7C" w:rsidRDefault="005273D3">
      <w:pPr>
        <w:pStyle w:val="Heading1"/>
        <w:spacing w:before="200"/>
      </w:pPr>
      <w:r>
        <w:t>16-VI</w:t>
      </w:r>
      <w:r w:rsidR="00EE3DA8">
        <w:t>I</w:t>
      </w:r>
      <w:r>
        <w:t>.D. DOCUMENTATION [24 CFR 5.2007]</w:t>
      </w:r>
    </w:p>
    <w:p w14:paraId="24057928" w14:textId="77777777" w:rsidR="006C0C7C" w:rsidRDefault="005273D3">
      <w:pPr>
        <w:pStyle w:val="BodyText"/>
        <w:spacing w:before="79" w:line="276" w:lineRule="auto"/>
        <w:ind w:left="220" w:right="260"/>
      </w:pPr>
      <w:r>
        <w:t>A PHA presented with a claim for initial or continued assistance based on status as a victim of domestic violence, dating violence, stalking, or criminal activity related to any of these forms of abuse may—but is not required to—request that the individual making the claim document the abuse. Any request for documentation must be in writing, and the individual must be allowed at least 14 business days after receipt of the request to submit the documentation. The PHA may extend this time period at its discretion. [24 CFR 5.2007(a)]</w:t>
      </w:r>
    </w:p>
    <w:p w14:paraId="0105B612" w14:textId="77777777" w:rsidR="006C0C7C" w:rsidRDefault="005273D3">
      <w:pPr>
        <w:pStyle w:val="BodyText"/>
        <w:spacing w:before="201" w:line="276" w:lineRule="auto"/>
        <w:ind w:left="220" w:right="260"/>
      </w:pPr>
      <w:r>
        <w:t>The individual may satisfy the PHA’s request by providing any one of the following three forms of documentation [24 CFR 5.2007(b)]:</w:t>
      </w:r>
    </w:p>
    <w:p w14:paraId="53268F67" w14:textId="1AA8BA52" w:rsidR="006C0C7C" w:rsidRDefault="005273D3">
      <w:pPr>
        <w:pStyle w:val="ListParagraph"/>
        <w:numPr>
          <w:ilvl w:val="0"/>
          <w:numId w:val="1"/>
        </w:numPr>
        <w:tabs>
          <w:tab w:val="left" w:pos="941"/>
        </w:tabs>
        <w:spacing w:line="276" w:lineRule="auto"/>
        <w:ind w:right="289" w:firstLine="0"/>
        <w:jc w:val="both"/>
        <w:rPr>
          <w:sz w:val="24"/>
        </w:rPr>
      </w:pPr>
      <w:bookmarkStart w:id="11" w:name="_Hlk14782550"/>
      <w:r>
        <w:rPr>
          <w:sz w:val="24"/>
        </w:rPr>
        <w:t>A completed and signed HUD-approved certification form (HUD-5</w:t>
      </w:r>
      <w:r w:rsidR="00610E4C">
        <w:rPr>
          <w:sz w:val="24"/>
        </w:rPr>
        <w:t>382</w:t>
      </w:r>
      <w:r>
        <w:rPr>
          <w:sz w:val="24"/>
        </w:rPr>
        <w:t>, Certification of Domestic Violence, Dating Violence, Sexual Assault, or Stalking), which must include the</w:t>
      </w:r>
      <w:r>
        <w:rPr>
          <w:spacing w:val="-15"/>
          <w:sz w:val="24"/>
        </w:rPr>
        <w:t xml:space="preserve"> </w:t>
      </w:r>
      <w:r>
        <w:rPr>
          <w:sz w:val="24"/>
        </w:rPr>
        <w:t>name of the</w:t>
      </w:r>
      <w:r>
        <w:rPr>
          <w:spacing w:val="-3"/>
          <w:sz w:val="24"/>
        </w:rPr>
        <w:t xml:space="preserve"> </w:t>
      </w:r>
      <w:r>
        <w:rPr>
          <w:sz w:val="24"/>
        </w:rPr>
        <w:t>perpetrator</w:t>
      </w:r>
      <w:r w:rsidR="00610E4C">
        <w:rPr>
          <w:sz w:val="24"/>
        </w:rPr>
        <w:t xml:space="preserve"> only if the name of the perpetrator is safe to provide and is know</w:t>
      </w:r>
      <w:r w:rsidR="00680C5F">
        <w:rPr>
          <w:sz w:val="24"/>
        </w:rPr>
        <w:t>n</w:t>
      </w:r>
      <w:r w:rsidR="00610E4C">
        <w:rPr>
          <w:sz w:val="24"/>
        </w:rPr>
        <w:t xml:space="preserve"> to the victim. The form may be filled out and submitted on behalf of the victim.</w:t>
      </w:r>
    </w:p>
    <w:bookmarkEnd w:id="11"/>
    <w:p w14:paraId="09584B79" w14:textId="77777777" w:rsidR="006C0C7C" w:rsidRDefault="005273D3">
      <w:pPr>
        <w:pStyle w:val="ListParagraph"/>
        <w:numPr>
          <w:ilvl w:val="0"/>
          <w:numId w:val="1"/>
        </w:numPr>
        <w:tabs>
          <w:tab w:val="left" w:pos="940"/>
          <w:tab w:val="left" w:pos="941"/>
        </w:tabs>
        <w:spacing w:before="201"/>
        <w:ind w:firstLine="0"/>
        <w:rPr>
          <w:sz w:val="24"/>
        </w:rPr>
      </w:pPr>
      <w:r>
        <w:rPr>
          <w:sz w:val="24"/>
        </w:rPr>
        <w:t>A federal, state, tribal, territorial, or local police report or court</w:t>
      </w:r>
      <w:r>
        <w:rPr>
          <w:spacing w:val="-4"/>
          <w:sz w:val="24"/>
        </w:rPr>
        <w:t xml:space="preserve"> </w:t>
      </w:r>
      <w:r w:rsidR="003B7F96">
        <w:rPr>
          <w:sz w:val="24"/>
        </w:rPr>
        <w:t>record or an administrative record</w:t>
      </w:r>
    </w:p>
    <w:p w14:paraId="1B5412DD" w14:textId="77777777" w:rsidR="006C0C7C" w:rsidRDefault="006C0C7C">
      <w:pPr>
        <w:pStyle w:val="BodyText"/>
        <w:spacing w:before="10"/>
        <w:rPr>
          <w:sz w:val="20"/>
        </w:rPr>
      </w:pPr>
    </w:p>
    <w:p w14:paraId="03645AB7" w14:textId="77777777" w:rsidR="006C0C7C" w:rsidRDefault="005273D3">
      <w:pPr>
        <w:pStyle w:val="ListParagraph"/>
        <w:numPr>
          <w:ilvl w:val="0"/>
          <w:numId w:val="1"/>
        </w:numPr>
        <w:tabs>
          <w:tab w:val="left" w:pos="940"/>
          <w:tab w:val="left" w:pos="941"/>
        </w:tabs>
        <w:spacing w:before="0" w:line="276" w:lineRule="auto"/>
        <w:ind w:right="452" w:firstLine="0"/>
        <w:rPr>
          <w:sz w:val="24"/>
        </w:rPr>
      </w:pPr>
      <w:r>
        <w:rPr>
          <w:sz w:val="24"/>
        </w:rPr>
        <w:t>Documentation signed by a person who has assisted the victim in addressing domestic violence, dating violence, sexual assault, or stalking, or the effects of such abuse. This person may be an employee, agent, or volunteer of a victim service provider; an attorney;</w:t>
      </w:r>
      <w:r w:rsidR="003B7F96">
        <w:rPr>
          <w:sz w:val="24"/>
        </w:rPr>
        <w:t xml:space="preserve"> a mental health professional;</w:t>
      </w:r>
      <w:r>
        <w:rPr>
          <w:sz w:val="24"/>
        </w:rPr>
        <w:t xml:space="preserve"> or a</w:t>
      </w:r>
      <w:r>
        <w:rPr>
          <w:spacing w:val="-17"/>
          <w:sz w:val="24"/>
        </w:rPr>
        <w:t xml:space="preserve"> </w:t>
      </w:r>
      <w:r>
        <w:rPr>
          <w:sz w:val="24"/>
        </w:rPr>
        <w:t>medical professional. The person signing the documentation must attest under penalty of perjury to the person’s belief that the incidents in question are bona fide incidents of abuse. The victim must also sign the</w:t>
      </w:r>
      <w:r>
        <w:rPr>
          <w:spacing w:val="-1"/>
          <w:sz w:val="24"/>
        </w:rPr>
        <w:t xml:space="preserve"> </w:t>
      </w:r>
      <w:r>
        <w:rPr>
          <w:sz w:val="24"/>
        </w:rPr>
        <w:t>documentation.</w:t>
      </w:r>
    </w:p>
    <w:p w14:paraId="3BF8DB53" w14:textId="77777777" w:rsidR="006C0C7C" w:rsidRDefault="005273D3">
      <w:pPr>
        <w:pStyle w:val="BodyText"/>
        <w:spacing w:before="200" w:line="276" w:lineRule="auto"/>
        <w:ind w:left="220" w:right="389"/>
      </w:pPr>
      <w:r>
        <w:t xml:space="preserve">The PHA may not require third-party documentation (forms 2 and 3) in addition to certification </w:t>
      </w:r>
      <w:r>
        <w:lastRenderedPageBreak/>
        <w:t>(form 1), except as specified below under “Conflicting Documentation,” nor may it require certification in addition to third-party documentation [VAWA</w:t>
      </w:r>
      <w:r w:rsidR="003B7F96">
        <w:t xml:space="preserve"> 2005</w:t>
      </w:r>
      <w:r>
        <w:t xml:space="preserve"> final rule].</w:t>
      </w:r>
    </w:p>
    <w:p w14:paraId="5502C582" w14:textId="77777777" w:rsidR="006C0C7C" w:rsidRDefault="005273D3">
      <w:pPr>
        <w:pStyle w:val="Heading1"/>
        <w:spacing w:before="201"/>
        <w:ind w:left="940"/>
      </w:pPr>
      <w:r>
        <w:rPr>
          <w:u w:val="thick"/>
        </w:rPr>
        <w:t>MHA Policy</w:t>
      </w:r>
    </w:p>
    <w:p w14:paraId="665FFB91" w14:textId="77777777" w:rsidR="006C0C7C" w:rsidRDefault="006C0C7C">
      <w:pPr>
        <w:pStyle w:val="BodyText"/>
        <w:rPr>
          <w:b/>
          <w:sz w:val="21"/>
        </w:rPr>
      </w:pPr>
    </w:p>
    <w:p w14:paraId="0B42E6BC" w14:textId="77777777" w:rsidR="006C0C7C" w:rsidRDefault="005273D3">
      <w:pPr>
        <w:pStyle w:val="BodyText"/>
        <w:spacing w:before="1" w:line="276" w:lineRule="auto"/>
        <w:ind w:left="940" w:right="282"/>
      </w:pPr>
      <w:r>
        <w:t>Any request for documentation of domestic violence, dating violence,</w:t>
      </w:r>
      <w:r w:rsidR="003B7F96">
        <w:t xml:space="preserve"> sexual assault</w:t>
      </w:r>
      <w:r>
        <w:t xml:space="preserve"> or stalking</w:t>
      </w:r>
      <w:r w:rsidR="003B7F96">
        <w:t xml:space="preserve"> will be in writing,</w:t>
      </w:r>
      <w:r>
        <w:t xml:space="preserve"> will specify a deadline of 14 business days following receipt of the request, will describe the three forms of acceptable documentation, will provide explicit instructions on where and to whom the documentation must be submitted, and will state the consequences for failure to submit the documentation or request an extension in writing by the deadline.</w:t>
      </w:r>
    </w:p>
    <w:p w14:paraId="209A73D8" w14:textId="77777777" w:rsidR="006C0C7C" w:rsidRDefault="005273D3">
      <w:pPr>
        <w:pStyle w:val="BodyText"/>
        <w:spacing w:before="198" w:line="276" w:lineRule="auto"/>
        <w:ind w:left="940" w:right="260"/>
      </w:pPr>
      <w:r>
        <w:t>The PHA may, in its discretion, extend the deadline for 10 business days. Any extension granted by the PHA will be in writing.</w:t>
      </w:r>
    </w:p>
    <w:p w14:paraId="605AEC20" w14:textId="77777777" w:rsidR="006C0C7C" w:rsidRDefault="005273D3">
      <w:pPr>
        <w:pStyle w:val="Heading1"/>
        <w:spacing w:before="201"/>
      </w:pPr>
      <w:bookmarkStart w:id="12" w:name="_Hlk14782647"/>
      <w:r>
        <w:t>Conflicting Documentation [24 CFR 5.2007(e)]</w:t>
      </w:r>
    </w:p>
    <w:p w14:paraId="1B216C7B" w14:textId="77777777" w:rsidR="006C0C7C" w:rsidRDefault="006C0C7C">
      <w:pPr>
        <w:pStyle w:val="BodyText"/>
        <w:spacing w:before="10"/>
        <w:rPr>
          <w:b/>
          <w:sz w:val="20"/>
        </w:rPr>
      </w:pPr>
    </w:p>
    <w:p w14:paraId="6C4B70E4" w14:textId="77777777" w:rsidR="006C0C7C" w:rsidRDefault="005273D3" w:rsidP="003B7F96">
      <w:pPr>
        <w:pStyle w:val="BodyText"/>
        <w:spacing w:line="276" w:lineRule="auto"/>
        <w:ind w:left="220" w:right="149"/>
      </w:pPr>
      <w:r>
        <w:t>In cases where the PHA receives conflicting certification documents from two or more members of a household, each claiming to be a victim and naming one or more of the other petitioning household members as the perpetrator, the PHA may determine which is the true victim by requiring each to provide acceptable third-party documentation, as described above (forms 2 and</w:t>
      </w:r>
      <w:r w:rsidR="003B7F96">
        <w:t xml:space="preserve"> </w:t>
      </w:r>
      <w:r>
        <w:t xml:space="preserve">3). </w:t>
      </w:r>
      <w:r w:rsidR="002F31CE">
        <w:t xml:space="preserve">The PHA may also request third party documentation when submitted documentation contains information that conflicts with existing information already available to the PHA. </w:t>
      </w:r>
      <w:r>
        <w:t>The PHA must honor any court orders issued to protect the victim or to address the distribution of property.</w:t>
      </w:r>
      <w:r w:rsidR="002F31CE">
        <w:t xml:space="preserve"> Individuals have 30 calendar days to return third party verifications to the PHA. If the PHA does not receive third party documentation, and the PHA will deny or terminate assistance as a result, the PHA must hold separate hearings for the tenants [Notice PIH 2017-08].</w:t>
      </w:r>
    </w:p>
    <w:p w14:paraId="2536BC3D" w14:textId="77777777" w:rsidR="006C0C7C" w:rsidRDefault="005273D3">
      <w:pPr>
        <w:pStyle w:val="Heading1"/>
        <w:spacing w:before="201"/>
        <w:ind w:left="940"/>
      </w:pPr>
      <w:r>
        <w:rPr>
          <w:u w:val="thick"/>
        </w:rPr>
        <w:t>MHA Policy</w:t>
      </w:r>
    </w:p>
    <w:p w14:paraId="3FE028BB" w14:textId="77777777" w:rsidR="006C0C7C" w:rsidRDefault="006C0C7C">
      <w:pPr>
        <w:pStyle w:val="BodyText"/>
        <w:spacing w:before="10"/>
        <w:rPr>
          <w:b/>
          <w:sz w:val="20"/>
        </w:rPr>
      </w:pPr>
    </w:p>
    <w:p w14:paraId="15876D18" w14:textId="77777777" w:rsidR="006C0C7C" w:rsidRDefault="005273D3">
      <w:pPr>
        <w:pStyle w:val="BodyText"/>
        <w:spacing w:line="276" w:lineRule="auto"/>
        <w:ind w:left="940" w:right="256"/>
      </w:pPr>
      <w:r>
        <w:t>If presented with conflicting certification documents from members of the same household, the PHA will attempt to determine which is the true victim by requiring each of them to provide third-party documentation in accordance with 24 CFR 5.2007</w:t>
      </w:r>
      <w:r w:rsidR="003B7F96">
        <w:t xml:space="preserve"> </w:t>
      </w:r>
      <w:r>
        <w:t>and by following any HUD guidance on how such determinations should be made.</w:t>
      </w:r>
      <w:r w:rsidR="002F31CE">
        <w:t xml:space="preserve"> When requesting third party documentation, the PHA will provide contact information for local domestic violence and legal aid offices. In such cases, applicants or tenants will be given 30 calendar days from the date of the request to provide such documentation. </w:t>
      </w:r>
    </w:p>
    <w:p w14:paraId="0770FF6C" w14:textId="77777777" w:rsidR="002F31CE" w:rsidRDefault="002F31CE">
      <w:pPr>
        <w:pStyle w:val="BodyText"/>
        <w:spacing w:line="276" w:lineRule="auto"/>
        <w:ind w:left="940" w:right="256"/>
      </w:pPr>
    </w:p>
    <w:p w14:paraId="3BA9D6E4" w14:textId="77777777" w:rsidR="00027397" w:rsidRDefault="002F31CE">
      <w:pPr>
        <w:pStyle w:val="BodyText"/>
        <w:spacing w:line="276" w:lineRule="auto"/>
        <w:ind w:left="940" w:right="256"/>
      </w:pPr>
      <w:r>
        <w:t xml:space="preserve">If the PHA does not receive third party documentation within the required time frame (and any extensions) the PHA will deny VAWA protections and will notify the applicant or tenant in writing of the denial. If, as a result, the applicant or tenant is denied or terminated from the program, the PHA will hold separate hearings for the applicants or </w:t>
      </w:r>
    </w:p>
    <w:p w14:paraId="15039393" w14:textId="7DA5B733" w:rsidR="002F31CE" w:rsidRDefault="002F31CE">
      <w:pPr>
        <w:pStyle w:val="BodyText"/>
        <w:spacing w:line="276" w:lineRule="auto"/>
        <w:ind w:left="940" w:right="256"/>
      </w:pPr>
      <w:r>
        <w:t>tenants.</w:t>
      </w:r>
    </w:p>
    <w:p w14:paraId="59721F94" w14:textId="77777777" w:rsidR="00027397" w:rsidRDefault="00027397">
      <w:pPr>
        <w:pStyle w:val="BodyText"/>
        <w:spacing w:line="276" w:lineRule="auto"/>
        <w:ind w:left="940" w:right="256"/>
      </w:pPr>
    </w:p>
    <w:bookmarkEnd w:id="12"/>
    <w:p w14:paraId="454130DD" w14:textId="77777777" w:rsidR="006C0C7C" w:rsidRDefault="005273D3">
      <w:pPr>
        <w:pStyle w:val="Heading1"/>
        <w:spacing w:before="201"/>
      </w:pPr>
      <w:r>
        <w:lastRenderedPageBreak/>
        <w:t>Discretion to Require No Formal Documentation [24 CFR 5.2007(d)]</w:t>
      </w:r>
    </w:p>
    <w:p w14:paraId="70FC6C8B" w14:textId="77777777" w:rsidR="006C0C7C" w:rsidRDefault="006C0C7C">
      <w:pPr>
        <w:pStyle w:val="BodyText"/>
        <w:spacing w:before="10"/>
        <w:rPr>
          <w:b/>
          <w:sz w:val="20"/>
        </w:rPr>
      </w:pPr>
    </w:p>
    <w:p w14:paraId="1EDCFDAB" w14:textId="77777777" w:rsidR="006C0C7C" w:rsidRDefault="005273D3">
      <w:pPr>
        <w:pStyle w:val="BodyText"/>
        <w:spacing w:before="1" w:line="276" w:lineRule="auto"/>
        <w:ind w:left="220" w:right="381"/>
      </w:pPr>
      <w:r>
        <w:t>The PHA has the discretion to provide benefits to an individual based solely on the individual’s statement or other corroborating evidence—i.e., without requiring formal documentation of abuse in accordance with 24 CFR 5.2007(b).</w:t>
      </w:r>
    </w:p>
    <w:p w14:paraId="1EFC55A0" w14:textId="77777777" w:rsidR="006C0C7C" w:rsidRDefault="005273D3">
      <w:pPr>
        <w:pStyle w:val="Heading1"/>
        <w:spacing w:before="202"/>
        <w:ind w:left="940"/>
      </w:pPr>
      <w:r>
        <w:rPr>
          <w:u w:val="thick"/>
        </w:rPr>
        <w:t>MHA Policy</w:t>
      </w:r>
    </w:p>
    <w:p w14:paraId="516DA00F" w14:textId="77777777" w:rsidR="006C0C7C" w:rsidRDefault="006C0C7C">
      <w:pPr>
        <w:pStyle w:val="BodyText"/>
        <w:spacing w:before="10"/>
        <w:rPr>
          <w:b/>
          <w:sz w:val="20"/>
        </w:rPr>
      </w:pPr>
    </w:p>
    <w:p w14:paraId="75A23D7B" w14:textId="77777777" w:rsidR="006C0C7C" w:rsidRDefault="005273D3">
      <w:pPr>
        <w:pStyle w:val="BodyText"/>
        <w:spacing w:line="276" w:lineRule="auto"/>
        <w:ind w:left="940" w:right="269"/>
      </w:pPr>
      <w:r>
        <w:t>If the PHA accepts an individual’s statement or other corroborating evidence of domestic violence, dating violence, sexual assault, or stalking, the PHA will document acceptance of the statement or evidence in the individual’s file.</w:t>
      </w:r>
    </w:p>
    <w:p w14:paraId="6C1D964F" w14:textId="77777777" w:rsidR="006C0C7C" w:rsidRDefault="005273D3">
      <w:pPr>
        <w:pStyle w:val="Heading1"/>
        <w:spacing w:before="200"/>
      </w:pPr>
      <w:r>
        <w:t>Failure to Provide Documentation [24 CFR 5.2007(c)]</w:t>
      </w:r>
    </w:p>
    <w:p w14:paraId="461C5401" w14:textId="77777777" w:rsidR="006C0C7C" w:rsidRDefault="006C0C7C">
      <w:pPr>
        <w:pStyle w:val="BodyText"/>
        <w:spacing w:before="1"/>
        <w:rPr>
          <w:b/>
          <w:sz w:val="21"/>
        </w:rPr>
      </w:pPr>
    </w:p>
    <w:p w14:paraId="47CF7537" w14:textId="77777777" w:rsidR="006C0C7C" w:rsidRDefault="005273D3">
      <w:pPr>
        <w:pStyle w:val="BodyText"/>
        <w:spacing w:line="276" w:lineRule="auto"/>
        <w:ind w:left="220" w:right="315"/>
      </w:pPr>
      <w:r>
        <w:t>To deny relief for protection under VAWA, a PHA must provide the individual requesting relief with a written request for documentation of abuse. If the individual fails to provide the documentation within 14 business days from the date of receipt, or such longer time as the PHA may allow, the PHA may deny relief for protection under VAWA.</w:t>
      </w:r>
    </w:p>
    <w:p w14:paraId="7CD0AA6D" w14:textId="77777777" w:rsidR="006C0C7C" w:rsidRDefault="005273D3">
      <w:pPr>
        <w:pStyle w:val="Heading1"/>
        <w:spacing w:before="199"/>
      </w:pPr>
      <w:r>
        <w:t>16-V</w:t>
      </w:r>
      <w:r w:rsidR="00E150B8">
        <w:t>I</w:t>
      </w:r>
      <w:r>
        <w:t>I.E. CONFIDENTIALITY [24 CFR 5.2007(b)(4)]</w:t>
      </w:r>
    </w:p>
    <w:p w14:paraId="6C270391" w14:textId="77777777" w:rsidR="006C0C7C" w:rsidRDefault="006C0C7C">
      <w:pPr>
        <w:pStyle w:val="BodyText"/>
        <w:spacing w:before="1"/>
        <w:rPr>
          <w:b/>
          <w:sz w:val="21"/>
        </w:rPr>
      </w:pPr>
    </w:p>
    <w:p w14:paraId="2FC0C824" w14:textId="77777777" w:rsidR="006C0C7C" w:rsidRDefault="005273D3" w:rsidP="003B7F96">
      <w:pPr>
        <w:pStyle w:val="BodyText"/>
        <w:spacing w:line="276" w:lineRule="auto"/>
        <w:ind w:left="220"/>
      </w:pPr>
      <w:r>
        <w:t xml:space="preserve">All information provided to the PHA regarding domestic violence, dating violence, or stalking, including the fact that an individual is a victim </w:t>
      </w:r>
      <w:r w:rsidR="003B7F96">
        <w:t>of domestic</w:t>
      </w:r>
      <w:r>
        <w:t xml:space="preserve"> violence</w:t>
      </w:r>
      <w:r w:rsidR="003B7F96">
        <w:t>, dating violence, sexual assault</w:t>
      </w:r>
      <w:r>
        <w:t xml:space="preserve"> or stalking, must be retained in confidence. This means that the PHA (1) may not enter the information into any shared database,</w:t>
      </w:r>
      <w:r w:rsidR="003B7F96">
        <w:t xml:space="preserve"> </w:t>
      </w:r>
      <w:r>
        <w:t>(2) may not allow employees or others to access the information unless they are explicitly authorized to do so and have a need to know the information for purposes of their work, and (3) may not provide the information to any other entity or individual, except to the extent that the disclosure is (a) requested or consented to by the individual in writing, (b) required for use in an eviction proceeding, or (c) otherwise required by applicable law.</w:t>
      </w:r>
    </w:p>
    <w:p w14:paraId="11CAC74D" w14:textId="77777777" w:rsidR="006C0C7C" w:rsidRDefault="005273D3">
      <w:pPr>
        <w:pStyle w:val="Heading1"/>
        <w:spacing w:before="79"/>
        <w:ind w:left="940"/>
      </w:pPr>
      <w:r>
        <w:rPr>
          <w:u w:val="thick"/>
        </w:rPr>
        <w:t>MHA Policy</w:t>
      </w:r>
    </w:p>
    <w:p w14:paraId="2B4C8D9F" w14:textId="77777777" w:rsidR="006C0C7C" w:rsidRDefault="006C0C7C">
      <w:pPr>
        <w:pStyle w:val="BodyText"/>
        <w:spacing w:before="1"/>
        <w:rPr>
          <w:b/>
          <w:sz w:val="21"/>
        </w:rPr>
      </w:pPr>
    </w:p>
    <w:p w14:paraId="32E1CC87" w14:textId="77777777" w:rsidR="006C0C7C" w:rsidRDefault="005273D3">
      <w:pPr>
        <w:pStyle w:val="BodyText"/>
        <w:spacing w:line="276" w:lineRule="auto"/>
        <w:ind w:left="940" w:right="602"/>
      </w:pPr>
      <w:r>
        <w:t>If disclosure is required for use in an eviction proceeding or is otherwise required by applicable law, the PHA will inform the victim before disclosure occurs so that safety risks can be identified and addressed.</w:t>
      </w:r>
    </w:p>
    <w:bookmarkEnd w:id="7"/>
    <w:p w14:paraId="1B7020A0" w14:textId="77777777" w:rsidR="006C0C7C" w:rsidRDefault="006C0C7C">
      <w:pPr>
        <w:spacing w:line="276" w:lineRule="auto"/>
        <w:sectPr w:rsidR="006C0C7C">
          <w:pgSz w:w="12240" w:h="15840"/>
          <w:pgMar w:top="1360" w:right="1220" w:bottom="920" w:left="1220" w:header="0" w:footer="739" w:gutter="0"/>
          <w:cols w:space="720"/>
        </w:sectPr>
      </w:pPr>
    </w:p>
    <w:p w14:paraId="37A05BD7" w14:textId="77777777" w:rsidR="006C0C7C" w:rsidRDefault="00027397">
      <w:pPr>
        <w:pStyle w:val="BodyText"/>
        <w:ind w:left="102"/>
        <w:rPr>
          <w:sz w:val="20"/>
        </w:rPr>
      </w:pPr>
      <w:r>
        <w:rPr>
          <w:sz w:val="20"/>
        </w:rPr>
      </w:r>
      <w:r>
        <w:rPr>
          <w:sz w:val="20"/>
        </w:rPr>
        <w:pict w14:anchorId="67810C49">
          <v:shape id="_x0000_s1031" type="#_x0000_t202" style="width:479.4pt;height:34.1pt;mso-left-percent:-10001;mso-top-percent:-10001;mso-position-horizontal:absolute;mso-position-horizontal-relative:char;mso-position-vertical:absolute;mso-position-vertical-relative:line;mso-left-percent:-10001;mso-top-percent:-10001" filled="f" strokeweight=".48pt">
            <v:textbox inset="0,0,0,0">
              <w:txbxContent>
                <w:p w14:paraId="412978CA" w14:textId="77777777" w:rsidR="00610E4C" w:rsidRDefault="00610E4C">
                  <w:pPr>
                    <w:spacing w:before="18" w:line="276" w:lineRule="auto"/>
                    <w:ind w:left="617" w:right="572" w:hanging="36"/>
                    <w:rPr>
                      <w:b/>
                      <w:sz w:val="24"/>
                    </w:rPr>
                  </w:pPr>
                  <w:r>
                    <w:rPr>
                      <w:b/>
                      <w:sz w:val="24"/>
                    </w:rPr>
                    <w:t>EXHIBIT 16-1: SAMPLE NOTICE TO PUBLIC HOUSING APPLICANTS AND TENANTS REGARDING THE VIOLENCE AGAINST WOMEN ACT (VAWA)</w:t>
                  </w:r>
                </w:p>
              </w:txbxContent>
            </v:textbox>
            <w10:anchorlock/>
          </v:shape>
        </w:pict>
      </w:r>
    </w:p>
    <w:p w14:paraId="1DF0060C" w14:textId="77777777" w:rsidR="006C0C7C" w:rsidRDefault="006C0C7C">
      <w:pPr>
        <w:pStyle w:val="BodyText"/>
        <w:spacing w:before="5"/>
        <w:rPr>
          <w:sz w:val="6"/>
        </w:rPr>
      </w:pPr>
    </w:p>
    <w:p w14:paraId="1C24C404" w14:textId="77777777" w:rsidR="006C0C7C" w:rsidRDefault="005273D3">
      <w:pPr>
        <w:spacing w:before="90"/>
        <w:ind w:left="220"/>
        <w:rPr>
          <w:sz w:val="24"/>
        </w:rPr>
      </w:pPr>
      <w:r>
        <w:rPr>
          <w:i/>
          <w:sz w:val="24"/>
        </w:rPr>
        <w:t>This sample notice was adapted from a notice prepared by the National Housing Law Project</w:t>
      </w:r>
      <w:r>
        <w:rPr>
          <w:sz w:val="24"/>
        </w:rPr>
        <w:t>.</w:t>
      </w:r>
    </w:p>
    <w:p w14:paraId="49809622" w14:textId="77777777" w:rsidR="006C0C7C" w:rsidRDefault="006C0C7C">
      <w:pPr>
        <w:pStyle w:val="BodyText"/>
        <w:spacing w:before="10"/>
        <w:rPr>
          <w:sz w:val="20"/>
        </w:rPr>
      </w:pPr>
    </w:p>
    <w:p w14:paraId="650C7788" w14:textId="77777777" w:rsidR="006C0C7C" w:rsidRDefault="005273D3">
      <w:pPr>
        <w:pStyle w:val="BodyText"/>
        <w:spacing w:line="276" w:lineRule="auto"/>
        <w:ind w:left="220" w:right="149"/>
      </w:pPr>
      <w:r>
        <w:t>A federal law that went into effect in 2006 protects individuals who are victims of domestic violence, dating violence, and stalking. The name of the law is the Violence against Women Act, or “VAWA.” This notice explains your rights under VAWA.</w:t>
      </w:r>
    </w:p>
    <w:p w14:paraId="2A528CCD" w14:textId="77777777" w:rsidR="006C0C7C" w:rsidRDefault="005273D3">
      <w:pPr>
        <w:pStyle w:val="Heading1"/>
        <w:spacing w:before="200"/>
      </w:pPr>
      <w:r>
        <w:t>Protections for Victims</w:t>
      </w:r>
    </w:p>
    <w:p w14:paraId="3BF059A2" w14:textId="77777777" w:rsidR="006C0C7C" w:rsidRDefault="006C0C7C">
      <w:pPr>
        <w:pStyle w:val="BodyText"/>
        <w:spacing w:before="1"/>
        <w:rPr>
          <w:b/>
          <w:sz w:val="21"/>
        </w:rPr>
      </w:pPr>
    </w:p>
    <w:p w14:paraId="0EAB686E" w14:textId="77777777" w:rsidR="006C0C7C" w:rsidRDefault="005273D3">
      <w:pPr>
        <w:pStyle w:val="BodyText"/>
        <w:spacing w:line="276" w:lineRule="auto"/>
        <w:ind w:left="220" w:right="475"/>
      </w:pPr>
      <w:r>
        <w:t xml:space="preserve">If you are eligible for public housing, the housing authority cannot deny you admittance </w:t>
      </w:r>
      <w:r w:rsidR="003B7F96">
        <w:t>on the basis that</w:t>
      </w:r>
      <w:r>
        <w:t xml:space="preserve"> you are a victim of domestic violence, dating violence, sexual assault, or stalking.</w:t>
      </w:r>
    </w:p>
    <w:p w14:paraId="60D20FDD" w14:textId="77777777" w:rsidR="006C0C7C" w:rsidRDefault="005273D3">
      <w:pPr>
        <w:pStyle w:val="BodyText"/>
        <w:spacing w:before="201" w:line="276" w:lineRule="auto"/>
        <w:ind w:left="220" w:right="488"/>
      </w:pPr>
      <w:r>
        <w:t>If you are the victim of domestic violence, dating violence, sexual assault, or stalking, the housing authority cannot evict you based on acts or threats of violence committed against you. Also, criminal acts directly related to the domestic violence, dating violence, sexual assault, or stalking that are caused by a member of your household or a guest can’t be the reason for evicting you if you were the victim of the abuse.</w:t>
      </w:r>
    </w:p>
    <w:p w14:paraId="75B76B32" w14:textId="77777777" w:rsidR="006C0C7C" w:rsidRDefault="005273D3">
      <w:pPr>
        <w:pStyle w:val="Heading1"/>
        <w:spacing w:before="199"/>
      </w:pPr>
      <w:r>
        <w:t>Reasons You Can Be Evicted</w:t>
      </w:r>
    </w:p>
    <w:p w14:paraId="18985C2C" w14:textId="77777777" w:rsidR="006C0C7C" w:rsidRDefault="006C0C7C">
      <w:pPr>
        <w:pStyle w:val="BodyText"/>
        <w:rPr>
          <w:b/>
          <w:sz w:val="21"/>
        </w:rPr>
      </w:pPr>
    </w:p>
    <w:p w14:paraId="2814B2F7" w14:textId="77777777" w:rsidR="006C0C7C" w:rsidRDefault="005273D3">
      <w:pPr>
        <w:pStyle w:val="BodyText"/>
        <w:spacing w:before="1" w:line="276" w:lineRule="auto"/>
        <w:ind w:left="220" w:right="327"/>
      </w:pPr>
      <w:r>
        <w:t>You can be evicted if the housing authority can show there is an actual and imminent (immediate) threat to other tenants or employees at the property if you remain in your housing. Also, you can be evicted for serious or repeated lease violations that are not related to the domestic violence, dating violence, sexual assault, or stalking committed against you. The housing authority cannot hold you to a more demanding set of rules than it applies to tenants who are not victims.</w:t>
      </w:r>
    </w:p>
    <w:p w14:paraId="3D22834D" w14:textId="77777777" w:rsidR="006C0C7C" w:rsidRDefault="005273D3">
      <w:pPr>
        <w:pStyle w:val="Heading1"/>
        <w:spacing w:before="201"/>
      </w:pPr>
      <w:r>
        <w:t>Removing the Abuser from the Household</w:t>
      </w:r>
    </w:p>
    <w:p w14:paraId="7013E514" w14:textId="77777777" w:rsidR="006C0C7C" w:rsidRDefault="006C0C7C">
      <w:pPr>
        <w:pStyle w:val="BodyText"/>
        <w:spacing w:before="9"/>
        <w:rPr>
          <w:b/>
          <w:sz w:val="20"/>
        </w:rPr>
      </w:pPr>
    </w:p>
    <w:p w14:paraId="464834BD" w14:textId="77777777" w:rsidR="006C0C7C" w:rsidRDefault="005273D3">
      <w:pPr>
        <w:pStyle w:val="BodyText"/>
        <w:spacing w:before="1" w:line="276" w:lineRule="auto"/>
        <w:ind w:left="220" w:right="225"/>
      </w:pPr>
      <w:r>
        <w:t xml:space="preserve">The housing authority may split the lease to evict a tenant who has committed criminal acts </w:t>
      </w:r>
      <w:r>
        <w:rPr>
          <w:spacing w:val="1"/>
        </w:rPr>
        <w:t xml:space="preserve">of </w:t>
      </w:r>
      <w:r>
        <w:t>violence against family members or others, while allowing the victim and other household members to stay in the public housing unit. If the housing authority chooses to remove the abuser, it may not take away the remaining tenants’ rights to the unit or otherwise punish the remaining tenants. In removing the abuser from the household, the housing authority must follow federal, state, and local eviction</w:t>
      </w:r>
      <w:r>
        <w:rPr>
          <w:spacing w:val="-1"/>
        </w:rPr>
        <w:t xml:space="preserve"> </w:t>
      </w:r>
      <w:r>
        <w:t>procedures.</w:t>
      </w:r>
    </w:p>
    <w:p w14:paraId="5B1C15E5" w14:textId="77777777" w:rsidR="006C0C7C" w:rsidRDefault="005273D3">
      <w:pPr>
        <w:pStyle w:val="Heading1"/>
        <w:spacing w:before="201"/>
      </w:pPr>
      <w:r>
        <w:t>Proving That You Are a Victim of Domestic Violence, Dating Violence, or Stalking</w:t>
      </w:r>
    </w:p>
    <w:p w14:paraId="5F80C6DC" w14:textId="77777777" w:rsidR="006C0C7C" w:rsidRDefault="006C0C7C">
      <w:pPr>
        <w:pStyle w:val="BodyText"/>
        <w:spacing w:before="1"/>
        <w:rPr>
          <w:b/>
          <w:sz w:val="21"/>
        </w:rPr>
      </w:pPr>
    </w:p>
    <w:p w14:paraId="6A59C980" w14:textId="77777777" w:rsidR="006C0C7C" w:rsidRDefault="005273D3">
      <w:pPr>
        <w:pStyle w:val="BodyText"/>
        <w:spacing w:line="276" w:lineRule="auto"/>
        <w:ind w:left="220" w:right="255"/>
      </w:pPr>
      <w:r>
        <w:t>The housing authority can ask you to prove or “certify” that you are a victim of domestic violence, dating violence, sexual assault, or stalking. The housing authority must give you at least 14 business days (i.e., Saturdays, Sundays, and holidays do not count) to provide this proof.</w:t>
      </w:r>
    </w:p>
    <w:p w14:paraId="11941CB4" w14:textId="77777777" w:rsidR="006C0C7C" w:rsidRDefault="006C0C7C">
      <w:pPr>
        <w:spacing w:line="276" w:lineRule="auto"/>
        <w:sectPr w:rsidR="006C0C7C">
          <w:pgSz w:w="12240" w:h="15840"/>
          <w:pgMar w:top="1440" w:right="1220" w:bottom="920" w:left="1220" w:header="0" w:footer="739" w:gutter="0"/>
          <w:cols w:space="720"/>
        </w:sectPr>
      </w:pPr>
    </w:p>
    <w:p w14:paraId="7A1DD9C3" w14:textId="77777777" w:rsidR="006C0C7C" w:rsidRDefault="005273D3">
      <w:pPr>
        <w:pStyle w:val="BodyText"/>
        <w:spacing w:before="79" w:line="276" w:lineRule="auto"/>
        <w:ind w:left="220"/>
      </w:pPr>
      <w:r>
        <w:lastRenderedPageBreak/>
        <w:t>The housing authority is free to extend the deadline. There are three ways you can prove that you are a victim:</w:t>
      </w:r>
    </w:p>
    <w:p w14:paraId="66380CC4" w14:textId="77777777" w:rsidR="006C0C7C" w:rsidRDefault="005273D3">
      <w:pPr>
        <w:pStyle w:val="ListParagraph"/>
        <w:numPr>
          <w:ilvl w:val="0"/>
          <w:numId w:val="5"/>
        </w:numPr>
        <w:tabs>
          <w:tab w:val="left" w:pos="940"/>
          <w:tab w:val="left" w:pos="941"/>
        </w:tabs>
        <w:spacing w:before="201" w:line="276" w:lineRule="auto"/>
        <w:ind w:right="492"/>
        <w:rPr>
          <w:sz w:val="24"/>
        </w:rPr>
      </w:pPr>
      <w:r>
        <w:rPr>
          <w:sz w:val="24"/>
        </w:rPr>
        <w:t>Complete the certification form given to you by the housing authority or your</w:t>
      </w:r>
      <w:r>
        <w:rPr>
          <w:spacing w:val="-17"/>
          <w:sz w:val="24"/>
        </w:rPr>
        <w:t xml:space="preserve"> </w:t>
      </w:r>
      <w:r>
        <w:rPr>
          <w:sz w:val="24"/>
        </w:rPr>
        <w:t>landlord. The form will ask for your name, the name of your abuser, the abuser’s relationship to you, the date, time, and location of the incident of violence, and a description of the violence.</w:t>
      </w:r>
    </w:p>
    <w:p w14:paraId="0F4EB005" w14:textId="77777777" w:rsidR="006C0C7C" w:rsidRDefault="005273D3">
      <w:pPr>
        <w:pStyle w:val="ListParagraph"/>
        <w:numPr>
          <w:ilvl w:val="0"/>
          <w:numId w:val="5"/>
        </w:numPr>
        <w:tabs>
          <w:tab w:val="left" w:pos="940"/>
          <w:tab w:val="left" w:pos="941"/>
        </w:tabs>
        <w:spacing w:before="199" w:line="276" w:lineRule="auto"/>
        <w:ind w:right="235"/>
        <w:jc w:val="both"/>
        <w:rPr>
          <w:sz w:val="24"/>
        </w:rPr>
      </w:pPr>
      <w:r>
        <w:rPr>
          <w:sz w:val="24"/>
        </w:rPr>
        <w:t>Provide a statement from a victim service provider, attorney,</w:t>
      </w:r>
      <w:r w:rsidR="003B7F96">
        <w:rPr>
          <w:sz w:val="24"/>
        </w:rPr>
        <w:t xml:space="preserve"> mental health professional</w:t>
      </w:r>
      <w:r>
        <w:rPr>
          <w:sz w:val="24"/>
        </w:rPr>
        <w:t xml:space="preserve"> or medical professional</w:t>
      </w:r>
      <w:r>
        <w:rPr>
          <w:spacing w:val="-16"/>
          <w:sz w:val="24"/>
        </w:rPr>
        <w:t xml:space="preserve"> </w:t>
      </w:r>
      <w:r>
        <w:rPr>
          <w:sz w:val="24"/>
        </w:rPr>
        <w:t>who has helped you address incidents of domestic violence, dating violence, sexual assault, or stalking. The professional must state that he or she believes that the incidents of abuse</w:t>
      </w:r>
      <w:r>
        <w:rPr>
          <w:spacing w:val="-12"/>
          <w:sz w:val="24"/>
        </w:rPr>
        <w:t xml:space="preserve"> </w:t>
      </w:r>
      <w:r>
        <w:rPr>
          <w:sz w:val="24"/>
        </w:rPr>
        <w:t>are real. Both you and the professional must sign the statement, and both of you must</w:t>
      </w:r>
      <w:r>
        <w:rPr>
          <w:spacing w:val="-3"/>
          <w:sz w:val="24"/>
        </w:rPr>
        <w:t xml:space="preserve"> </w:t>
      </w:r>
      <w:r>
        <w:rPr>
          <w:sz w:val="24"/>
        </w:rPr>
        <w:t>state</w:t>
      </w:r>
    </w:p>
    <w:p w14:paraId="58C36A1C" w14:textId="77777777" w:rsidR="006C0C7C" w:rsidRDefault="005273D3">
      <w:pPr>
        <w:pStyle w:val="BodyText"/>
        <w:spacing w:before="1"/>
        <w:ind w:left="940"/>
      </w:pPr>
      <w:r>
        <w:t>that you are signing “under penalty of perjury.”</w:t>
      </w:r>
    </w:p>
    <w:p w14:paraId="5BCA9A26" w14:textId="77777777" w:rsidR="006C0C7C" w:rsidRDefault="006C0C7C">
      <w:pPr>
        <w:pStyle w:val="BodyText"/>
        <w:rPr>
          <w:sz w:val="21"/>
        </w:rPr>
      </w:pPr>
    </w:p>
    <w:p w14:paraId="068885D1" w14:textId="77777777" w:rsidR="006C0C7C" w:rsidRDefault="005273D3">
      <w:pPr>
        <w:pStyle w:val="ListParagraph"/>
        <w:numPr>
          <w:ilvl w:val="0"/>
          <w:numId w:val="5"/>
        </w:numPr>
        <w:tabs>
          <w:tab w:val="left" w:pos="940"/>
          <w:tab w:val="left" w:pos="941"/>
        </w:tabs>
        <w:spacing w:before="1"/>
        <w:rPr>
          <w:sz w:val="24"/>
        </w:rPr>
      </w:pPr>
      <w:r>
        <w:rPr>
          <w:sz w:val="24"/>
        </w:rPr>
        <w:t>Provide a police or court record, such as a protective</w:t>
      </w:r>
      <w:r>
        <w:rPr>
          <w:spacing w:val="-5"/>
          <w:sz w:val="24"/>
        </w:rPr>
        <w:t xml:space="preserve"> </w:t>
      </w:r>
      <w:r>
        <w:rPr>
          <w:sz w:val="24"/>
        </w:rPr>
        <w:t>order</w:t>
      </w:r>
      <w:r w:rsidR="003B7F96">
        <w:rPr>
          <w:sz w:val="24"/>
        </w:rPr>
        <w:t xml:space="preserve"> or an administrative record</w:t>
      </w:r>
      <w:r>
        <w:rPr>
          <w:sz w:val="24"/>
        </w:rPr>
        <w:t>.</w:t>
      </w:r>
    </w:p>
    <w:p w14:paraId="3E824684" w14:textId="77777777" w:rsidR="006C0C7C" w:rsidRDefault="006C0C7C">
      <w:pPr>
        <w:pStyle w:val="BodyText"/>
        <w:spacing w:before="9"/>
        <w:rPr>
          <w:sz w:val="20"/>
        </w:rPr>
      </w:pPr>
    </w:p>
    <w:p w14:paraId="26D81A82" w14:textId="77777777" w:rsidR="003B7F96" w:rsidRDefault="003B7F96">
      <w:pPr>
        <w:pStyle w:val="BodyText"/>
        <w:spacing w:before="1" w:line="276" w:lineRule="auto"/>
        <w:ind w:left="220" w:right="235"/>
      </w:pPr>
      <w:bookmarkStart w:id="13" w:name="_Hlk31819126"/>
      <w:r>
        <w:t>Additionally, at its discretion, the housing authority can accept a statement or other evidence provided by the applicant or tenant.</w:t>
      </w:r>
    </w:p>
    <w:bookmarkEnd w:id="13"/>
    <w:p w14:paraId="4B7DBDED" w14:textId="77777777" w:rsidR="00644BCB" w:rsidRDefault="00644BCB">
      <w:pPr>
        <w:pStyle w:val="BodyText"/>
        <w:spacing w:before="1" w:line="276" w:lineRule="auto"/>
        <w:ind w:left="220" w:right="235"/>
      </w:pPr>
    </w:p>
    <w:p w14:paraId="31EBF8A0" w14:textId="77777777" w:rsidR="006C0C7C" w:rsidRDefault="005273D3">
      <w:pPr>
        <w:pStyle w:val="BodyText"/>
        <w:spacing w:before="1" w:line="276" w:lineRule="auto"/>
        <w:ind w:left="220" w:right="235"/>
      </w:pPr>
      <w:r>
        <w:t>If you fail to provide one of these documents within the required time, the housing authority may evict you.</w:t>
      </w:r>
    </w:p>
    <w:p w14:paraId="44ADEF90" w14:textId="77777777" w:rsidR="006C0C7C" w:rsidRDefault="005273D3">
      <w:pPr>
        <w:pStyle w:val="Heading1"/>
        <w:spacing w:before="200"/>
      </w:pPr>
      <w:r>
        <w:t>Confidentiality</w:t>
      </w:r>
    </w:p>
    <w:p w14:paraId="5FCC2E31" w14:textId="77777777" w:rsidR="006C0C7C" w:rsidRDefault="006C0C7C">
      <w:pPr>
        <w:pStyle w:val="BodyText"/>
        <w:spacing w:before="1"/>
        <w:rPr>
          <w:b/>
          <w:sz w:val="21"/>
        </w:rPr>
      </w:pPr>
    </w:p>
    <w:p w14:paraId="3715078F" w14:textId="77777777" w:rsidR="006C0C7C" w:rsidRDefault="005273D3">
      <w:pPr>
        <w:pStyle w:val="BodyText"/>
        <w:spacing w:line="276" w:lineRule="auto"/>
        <w:ind w:left="220" w:right="562"/>
      </w:pPr>
      <w:r>
        <w:t>The housing authority must keep confidential any information you provide about the violence against you, unless:</w:t>
      </w:r>
    </w:p>
    <w:p w14:paraId="3CCFD928" w14:textId="77777777" w:rsidR="006C0C7C" w:rsidRDefault="005273D3">
      <w:pPr>
        <w:pStyle w:val="ListParagraph"/>
        <w:numPr>
          <w:ilvl w:val="0"/>
          <w:numId w:val="5"/>
        </w:numPr>
        <w:tabs>
          <w:tab w:val="left" w:pos="940"/>
          <w:tab w:val="left" w:pos="941"/>
        </w:tabs>
        <w:spacing w:before="198" w:line="278" w:lineRule="auto"/>
        <w:ind w:right="829"/>
        <w:rPr>
          <w:sz w:val="24"/>
        </w:rPr>
      </w:pPr>
      <w:r>
        <w:rPr>
          <w:sz w:val="24"/>
        </w:rPr>
        <w:t>You give written permission to the housing authority or your landlord to release</w:t>
      </w:r>
      <w:r>
        <w:rPr>
          <w:spacing w:val="-14"/>
          <w:sz w:val="24"/>
        </w:rPr>
        <w:t xml:space="preserve"> </w:t>
      </w:r>
      <w:r>
        <w:rPr>
          <w:sz w:val="24"/>
        </w:rPr>
        <w:t>the information.</w:t>
      </w:r>
    </w:p>
    <w:p w14:paraId="0CCAB611" w14:textId="77777777" w:rsidR="006C0C7C" w:rsidRDefault="005273D3">
      <w:pPr>
        <w:pStyle w:val="ListParagraph"/>
        <w:numPr>
          <w:ilvl w:val="0"/>
          <w:numId w:val="5"/>
        </w:numPr>
        <w:tabs>
          <w:tab w:val="left" w:pos="940"/>
          <w:tab w:val="left" w:pos="941"/>
        </w:tabs>
        <w:spacing w:before="195" w:line="276" w:lineRule="auto"/>
        <w:ind w:right="280"/>
        <w:rPr>
          <w:sz w:val="24"/>
        </w:rPr>
      </w:pPr>
      <w:r>
        <w:rPr>
          <w:sz w:val="24"/>
        </w:rPr>
        <w:t>Your housing authority needs to use the information in an eviction proceeding, such as</w:t>
      </w:r>
      <w:r>
        <w:rPr>
          <w:spacing w:val="-11"/>
          <w:sz w:val="24"/>
        </w:rPr>
        <w:t xml:space="preserve"> </w:t>
      </w:r>
      <w:r>
        <w:rPr>
          <w:sz w:val="24"/>
        </w:rPr>
        <w:t>to evict your abuser.</w:t>
      </w:r>
    </w:p>
    <w:p w14:paraId="57B7582E" w14:textId="77777777" w:rsidR="006C0C7C" w:rsidRDefault="005273D3">
      <w:pPr>
        <w:pStyle w:val="ListParagraph"/>
        <w:numPr>
          <w:ilvl w:val="0"/>
          <w:numId w:val="5"/>
        </w:numPr>
        <w:tabs>
          <w:tab w:val="left" w:pos="940"/>
          <w:tab w:val="left" w:pos="941"/>
        </w:tabs>
        <w:spacing w:before="201"/>
        <w:rPr>
          <w:sz w:val="24"/>
        </w:rPr>
      </w:pPr>
      <w:r>
        <w:rPr>
          <w:sz w:val="24"/>
        </w:rPr>
        <w:t>A law requires the housing authority to release the</w:t>
      </w:r>
      <w:r>
        <w:rPr>
          <w:spacing w:val="-10"/>
          <w:sz w:val="24"/>
        </w:rPr>
        <w:t xml:space="preserve"> </w:t>
      </w:r>
      <w:r>
        <w:rPr>
          <w:sz w:val="24"/>
        </w:rPr>
        <w:t>information.</w:t>
      </w:r>
    </w:p>
    <w:p w14:paraId="2FBECAC8" w14:textId="77777777" w:rsidR="006C0C7C" w:rsidRDefault="006C0C7C">
      <w:pPr>
        <w:pStyle w:val="BodyText"/>
        <w:spacing w:before="1"/>
        <w:rPr>
          <w:sz w:val="21"/>
        </w:rPr>
      </w:pPr>
    </w:p>
    <w:p w14:paraId="45762DFA" w14:textId="77777777" w:rsidR="006C0C7C" w:rsidRDefault="005273D3">
      <w:pPr>
        <w:pStyle w:val="BodyText"/>
        <w:spacing w:line="276" w:lineRule="auto"/>
        <w:ind w:left="220" w:right="988"/>
      </w:pPr>
      <w:r>
        <w:t>If release of the information would put your safety at risk, you should inform the housing authority.</w:t>
      </w:r>
    </w:p>
    <w:p w14:paraId="61CEA90F" w14:textId="77777777" w:rsidR="006C0C7C" w:rsidRDefault="005273D3">
      <w:pPr>
        <w:pStyle w:val="Heading1"/>
        <w:spacing w:before="198"/>
      </w:pPr>
      <w:r>
        <w:t>VAWA and Other Laws</w:t>
      </w:r>
    </w:p>
    <w:p w14:paraId="50388B1A" w14:textId="77777777" w:rsidR="006C0C7C" w:rsidRDefault="006C0C7C">
      <w:pPr>
        <w:pStyle w:val="BodyText"/>
        <w:spacing w:before="1"/>
        <w:rPr>
          <w:b/>
          <w:sz w:val="21"/>
        </w:rPr>
      </w:pPr>
    </w:p>
    <w:p w14:paraId="243D3871" w14:textId="77777777" w:rsidR="006C0C7C" w:rsidRDefault="005273D3">
      <w:pPr>
        <w:pStyle w:val="BodyText"/>
        <w:spacing w:line="276" w:lineRule="auto"/>
        <w:ind w:left="220" w:right="821"/>
      </w:pPr>
      <w:r>
        <w:t>VAWA does not limit the housing authority’s duty to honor court orders about access to or control of the property. This includes orders issued to protect a victim and orders dividing property among household members in cases where a family breaks up.</w:t>
      </w:r>
    </w:p>
    <w:p w14:paraId="5BAB1247" w14:textId="77777777" w:rsidR="006C0C7C" w:rsidRDefault="005273D3">
      <w:pPr>
        <w:pStyle w:val="BodyText"/>
        <w:spacing w:before="200" w:line="276" w:lineRule="auto"/>
        <w:ind w:left="220" w:right="723"/>
      </w:pPr>
      <w:r>
        <w:t>VAWA does not replace any federal, state, or local law that provides greater protection for victims of domestic violence, dating violence, sexual assault, or stalking.</w:t>
      </w:r>
    </w:p>
    <w:p w14:paraId="4CE915B8" w14:textId="77777777" w:rsidR="006C0C7C" w:rsidRDefault="006C0C7C">
      <w:pPr>
        <w:spacing w:line="276" w:lineRule="auto"/>
        <w:sectPr w:rsidR="006C0C7C">
          <w:pgSz w:w="12240" w:h="15840"/>
          <w:pgMar w:top="1360" w:right="1220" w:bottom="920" w:left="1220" w:header="0" w:footer="739" w:gutter="0"/>
          <w:cols w:space="720"/>
        </w:sectPr>
      </w:pPr>
    </w:p>
    <w:p w14:paraId="24F30B36" w14:textId="77777777" w:rsidR="006C0C7C" w:rsidRDefault="005273D3">
      <w:pPr>
        <w:pStyle w:val="Heading1"/>
        <w:spacing w:before="79"/>
      </w:pPr>
      <w:r>
        <w:lastRenderedPageBreak/>
        <w:t>For Additional Information</w:t>
      </w:r>
    </w:p>
    <w:p w14:paraId="1B01E884" w14:textId="77777777" w:rsidR="006C0C7C" w:rsidRDefault="006C0C7C">
      <w:pPr>
        <w:pStyle w:val="BodyText"/>
        <w:spacing w:before="1"/>
        <w:rPr>
          <w:b/>
          <w:sz w:val="21"/>
        </w:rPr>
      </w:pPr>
    </w:p>
    <w:p w14:paraId="2FE82065" w14:textId="05FBB59C" w:rsidR="006C0C7C" w:rsidRDefault="005273D3" w:rsidP="00027397">
      <w:pPr>
        <w:pStyle w:val="BodyText"/>
        <w:tabs>
          <w:tab w:val="left" w:pos="8942"/>
        </w:tabs>
        <w:ind w:left="220"/>
      </w:pPr>
      <w:r>
        <w:t>If you have any questions regarding VAWA,</w:t>
      </w:r>
      <w:r>
        <w:rPr>
          <w:spacing w:val="-9"/>
        </w:rPr>
        <w:t xml:space="preserve"> </w:t>
      </w:r>
      <w:r>
        <w:t>please</w:t>
      </w:r>
      <w:r>
        <w:rPr>
          <w:spacing w:val="-3"/>
        </w:rPr>
        <w:t xml:space="preserve"> </w:t>
      </w:r>
      <w:r>
        <w:t>contact</w:t>
      </w:r>
      <w:r w:rsidR="00027397">
        <w:t xml:space="preserve"> the Millville Housing Authority property manager a</w:t>
      </w:r>
      <w:r>
        <w:t>t</w:t>
      </w:r>
      <w:r w:rsidR="00027397">
        <w:t xml:space="preserve"> _______________.</w:t>
      </w:r>
      <w:bookmarkStart w:id="14" w:name="_GoBack"/>
      <w:bookmarkEnd w:id="14"/>
    </w:p>
    <w:p w14:paraId="15BD4242" w14:textId="77777777" w:rsidR="00027397" w:rsidRDefault="00027397" w:rsidP="00027397">
      <w:pPr>
        <w:pStyle w:val="BodyText"/>
        <w:tabs>
          <w:tab w:val="left" w:pos="8942"/>
        </w:tabs>
        <w:ind w:left="220"/>
        <w:rPr>
          <w:sz w:val="20"/>
        </w:rPr>
      </w:pPr>
    </w:p>
    <w:p w14:paraId="772F841A" w14:textId="77777777" w:rsidR="006C0C7C" w:rsidRDefault="005273D3">
      <w:pPr>
        <w:pStyle w:val="BodyText"/>
        <w:spacing w:line="278" w:lineRule="auto"/>
        <w:ind w:left="220" w:right="327"/>
      </w:pPr>
      <w:r>
        <w:t>For help and advice on escaping an abusive relationship, call the National Domestic Violence Hotline at 1-800-799-SAFE (7233) or 1-800-787-3224 (TTY).</w:t>
      </w:r>
    </w:p>
    <w:p w14:paraId="74EBD70F" w14:textId="77777777" w:rsidR="006C0C7C" w:rsidRDefault="005273D3">
      <w:pPr>
        <w:pStyle w:val="Heading1"/>
        <w:spacing w:before="195"/>
      </w:pPr>
      <w:r>
        <w:t>Definitions</w:t>
      </w:r>
    </w:p>
    <w:p w14:paraId="16A65B8E" w14:textId="77777777" w:rsidR="006C0C7C" w:rsidRDefault="006C0C7C">
      <w:pPr>
        <w:pStyle w:val="BodyText"/>
        <w:spacing w:before="1"/>
        <w:rPr>
          <w:b/>
          <w:sz w:val="21"/>
        </w:rPr>
      </w:pPr>
    </w:p>
    <w:p w14:paraId="071308DE" w14:textId="77777777" w:rsidR="006C0C7C" w:rsidRDefault="005273D3">
      <w:pPr>
        <w:pStyle w:val="BodyText"/>
        <w:spacing w:line="276" w:lineRule="auto"/>
        <w:ind w:left="220" w:right="482"/>
      </w:pPr>
      <w:r>
        <w:t>For purposes of determining whether a tenant may be covered by VAWA, the following list of definitions applies:</w:t>
      </w:r>
    </w:p>
    <w:p w14:paraId="0047DB8F" w14:textId="77777777" w:rsidR="006C0C7C" w:rsidRDefault="005273D3">
      <w:pPr>
        <w:pStyle w:val="BodyText"/>
        <w:spacing w:before="201" w:line="276" w:lineRule="auto"/>
        <w:ind w:left="220" w:right="723"/>
      </w:pPr>
      <w:r>
        <w:t>VAWA defines domestic violence to include felony or misdemeanor crimes of violence committed by any of the following:</w:t>
      </w:r>
    </w:p>
    <w:p w14:paraId="5FBEA52F" w14:textId="77777777" w:rsidR="006C0C7C" w:rsidRDefault="005273D3">
      <w:pPr>
        <w:pStyle w:val="ListParagraph"/>
        <w:numPr>
          <w:ilvl w:val="0"/>
          <w:numId w:val="5"/>
        </w:numPr>
        <w:tabs>
          <w:tab w:val="left" w:pos="940"/>
          <w:tab w:val="left" w:pos="941"/>
        </w:tabs>
        <w:spacing w:before="198"/>
        <w:rPr>
          <w:sz w:val="24"/>
        </w:rPr>
      </w:pPr>
      <w:r>
        <w:rPr>
          <w:sz w:val="24"/>
        </w:rPr>
        <w:t>A current or former spouse</w:t>
      </w:r>
      <w:r w:rsidR="00AB6609">
        <w:rPr>
          <w:sz w:val="24"/>
        </w:rPr>
        <w:t xml:space="preserve"> or intimate partner</w:t>
      </w:r>
      <w:r>
        <w:rPr>
          <w:sz w:val="24"/>
        </w:rPr>
        <w:t xml:space="preserve"> of the</w:t>
      </w:r>
      <w:r>
        <w:rPr>
          <w:spacing w:val="-4"/>
          <w:sz w:val="24"/>
        </w:rPr>
        <w:t xml:space="preserve"> </w:t>
      </w:r>
      <w:r>
        <w:rPr>
          <w:sz w:val="24"/>
        </w:rPr>
        <w:t>victim</w:t>
      </w:r>
    </w:p>
    <w:p w14:paraId="2FD3EAAC" w14:textId="77777777" w:rsidR="006C0C7C" w:rsidRDefault="006C0C7C">
      <w:pPr>
        <w:pStyle w:val="BodyText"/>
        <w:spacing w:before="1"/>
        <w:rPr>
          <w:sz w:val="21"/>
        </w:rPr>
      </w:pPr>
    </w:p>
    <w:p w14:paraId="6FDE8E3D" w14:textId="77777777" w:rsidR="006C0C7C" w:rsidRDefault="005273D3">
      <w:pPr>
        <w:pStyle w:val="ListParagraph"/>
        <w:numPr>
          <w:ilvl w:val="0"/>
          <w:numId w:val="5"/>
        </w:numPr>
        <w:tabs>
          <w:tab w:val="left" w:pos="940"/>
          <w:tab w:val="left" w:pos="941"/>
        </w:tabs>
        <w:spacing w:before="0"/>
        <w:rPr>
          <w:sz w:val="24"/>
        </w:rPr>
      </w:pPr>
      <w:r>
        <w:rPr>
          <w:sz w:val="24"/>
        </w:rPr>
        <w:t>A person with whom the victim shares a child in</w:t>
      </w:r>
      <w:r>
        <w:rPr>
          <w:spacing w:val="-1"/>
          <w:sz w:val="24"/>
        </w:rPr>
        <w:t xml:space="preserve"> </w:t>
      </w:r>
      <w:r>
        <w:rPr>
          <w:sz w:val="24"/>
        </w:rPr>
        <w:t>common</w:t>
      </w:r>
    </w:p>
    <w:p w14:paraId="4803BE7C" w14:textId="77777777" w:rsidR="006C0C7C" w:rsidRDefault="006C0C7C">
      <w:pPr>
        <w:pStyle w:val="BodyText"/>
        <w:spacing w:before="1"/>
        <w:rPr>
          <w:sz w:val="21"/>
        </w:rPr>
      </w:pPr>
    </w:p>
    <w:p w14:paraId="52AF6C7E" w14:textId="77777777" w:rsidR="006C0C7C" w:rsidRDefault="005273D3">
      <w:pPr>
        <w:pStyle w:val="ListParagraph"/>
        <w:numPr>
          <w:ilvl w:val="0"/>
          <w:numId w:val="5"/>
        </w:numPr>
        <w:tabs>
          <w:tab w:val="left" w:pos="940"/>
          <w:tab w:val="left" w:pos="941"/>
        </w:tabs>
        <w:spacing w:before="0"/>
        <w:rPr>
          <w:sz w:val="24"/>
        </w:rPr>
      </w:pPr>
      <w:r>
        <w:rPr>
          <w:sz w:val="24"/>
        </w:rPr>
        <w:t>A person who is cohabitating with or has cohabitated with the victim as a</w:t>
      </w:r>
      <w:r>
        <w:rPr>
          <w:spacing w:val="-7"/>
          <w:sz w:val="24"/>
        </w:rPr>
        <w:t xml:space="preserve"> </w:t>
      </w:r>
      <w:r>
        <w:rPr>
          <w:sz w:val="24"/>
        </w:rPr>
        <w:t>spouse</w:t>
      </w:r>
      <w:r w:rsidR="00AB6609">
        <w:rPr>
          <w:sz w:val="24"/>
        </w:rPr>
        <w:t xml:space="preserve"> or intimate partner</w:t>
      </w:r>
    </w:p>
    <w:p w14:paraId="2EE2089F" w14:textId="77777777" w:rsidR="006C0C7C" w:rsidRDefault="006C0C7C">
      <w:pPr>
        <w:pStyle w:val="BodyText"/>
        <w:spacing w:before="10"/>
        <w:rPr>
          <w:sz w:val="20"/>
        </w:rPr>
      </w:pPr>
    </w:p>
    <w:p w14:paraId="3071965A" w14:textId="77777777" w:rsidR="006C0C7C" w:rsidRDefault="005273D3">
      <w:pPr>
        <w:pStyle w:val="ListParagraph"/>
        <w:numPr>
          <w:ilvl w:val="0"/>
          <w:numId w:val="5"/>
        </w:numPr>
        <w:tabs>
          <w:tab w:val="left" w:pos="940"/>
          <w:tab w:val="left" w:pos="941"/>
        </w:tabs>
        <w:spacing w:before="0" w:line="276" w:lineRule="auto"/>
        <w:ind w:right="1020"/>
        <w:rPr>
          <w:sz w:val="24"/>
        </w:rPr>
      </w:pPr>
      <w:r>
        <w:rPr>
          <w:sz w:val="24"/>
        </w:rPr>
        <w:t>A person similarly situated to a spouse of the victim under the domestic or</w:t>
      </w:r>
      <w:r>
        <w:rPr>
          <w:spacing w:val="-12"/>
          <w:sz w:val="24"/>
        </w:rPr>
        <w:t xml:space="preserve"> </w:t>
      </w:r>
      <w:r>
        <w:rPr>
          <w:sz w:val="24"/>
        </w:rPr>
        <w:t>family violence laws of the jurisdiction receiving grant</w:t>
      </w:r>
      <w:r>
        <w:rPr>
          <w:spacing w:val="-4"/>
          <w:sz w:val="24"/>
        </w:rPr>
        <w:t xml:space="preserve"> </w:t>
      </w:r>
      <w:r>
        <w:rPr>
          <w:sz w:val="24"/>
        </w:rPr>
        <w:t>monies</w:t>
      </w:r>
    </w:p>
    <w:p w14:paraId="10A1C554" w14:textId="77777777" w:rsidR="006C0C7C" w:rsidRDefault="005273D3">
      <w:pPr>
        <w:pStyle w:val="ListParagraph"/>
        <w:numPr>
          <w:ilvl w:val="0"/>
          <w:numId w:val="5"/>
        </w:numPr>
        <w:tabs>
          <w:tab w:val="left" w:pos="940"/>
          <w:tab w:val="left" w:pos="941"/>
        </w:tabs>
        <w:spacing w:line="276" w:lineRule="auto"/>
        <w:ind w:right="623"/>
        <w:rPr>
          <w:sz w:val="24"/>
        </w:rPr>
      </w:pPr>
      <w:r>
        <w:rPr>
          <w:sz w:val="24"/>
        </w:rPr>
        <w:t>Any other person against an adult or youth victim who is protected from that</w:t>
      </w:r>
      <w:r>
        <w:rPr>
          <w:spacing w:val="-25"/>
          <w:sz w:val="24"/>
        </w:rPr>
        <w:t xml:space="preserve"> </w:t>
      </w:r>
      <w:r>
        <w:rPr>
          <w:sz w:val="24"/>
        </w:rPr>
        <w:t>person’s acts under the domestic or family violence laws of the</w:t>
      </w:r>
      <w:r>
        <w:rPr>
          <w:spacing w:val="-9"/>
          <w:sz w:val="24"/>
        </w:rPr>
        <w:t xml:space="preserve"> </w:t>
      </w:r>
      <w:r>
        <w:rPr>
          <w:sz w:val="24"/>
        </w:rPr>
        <w:t>jurisdiction</w:t>
      </w:r>
    </w:p>
    <w:p w14:paraId="291BD7B2" w14:textId="77777777" w:rsidR="006C0C7C" w:rsidRDefault="005273D3">
      <w:pPr>
        <w:pStyle w:val="BodyText"/>
        <w:spacing w:before="201" w:line="276" w:lineRule="auto"/>
        <w:ind w:left="220" w:right="260"/>
      </w:pPr>
      <w:r>
        <w:t xml:space="preserve">VAWA defines </w:t>
      </w:r>
      <w:r w:rsidRPr="002C1B97">
        <w:rPr>
          <w:b/>
          <w:bCs/>
        </w:rPr>
        <w:t>dating violence</w:t>
      </w:r>
      <w:r>
        <w:t xml:space="preserve"> as violence committed by a person (1) who is or has been in a social relationship of a romantic or intimate nature with the victim AND (2) where the existence of such a relationship shall be determined based on a consideration of the following factors:</w:t>
      </w:r>
    </w:p>
    <w:p w14:paraId="2C2E99A3" w14:textId="77777777" w:rsidR="006C0C7C" w:rsidRDefault="005273D3">
      <w:pPr>
        <w:pStyle w:val="ListParagraph"/>
        <w:numPr>
          <w:ilvl w:val="0"/>
          <w:numId w:val="5"/>
        </w:numPr>
        <w:tabs>
          <w:tab w:val="left" w:pos="940"/>
          <w:tab w:val="left" w:pos="941"/>
        </w:tabs>
        <w:rPr>
          <w:sz w:val="24"/>
        </w:rPr>
      </w:pPr>
      <w:r>
        <w:rPr>
          <w:sz w:val="24"/>
        </w:rPr>
        <w:t>The length of the</w:t>
      </w:r>
      <w:r>
        <w:rPr>
          <w:spacing w:val="-3"/>
          <w:sz w:val="24"/>
        </w:rPr>
        <w:t xml:space="preserve"> </w:t>
      </w:r>
      <w:r>
        <w:rPr>
          <w:sz w:val="24"/>
        </w:rPr>
        <w:t>relationship</w:t>
      </w:r>
    </w:p>
    <w:p w14:paraId="12C8D11E" w14:textId="77777777" w:rsidR="006C0C7C" w:rsidRDefault="006C0C7C">
      <w:pPr>
        <w:pStyle w:val="BodyText"/>
        <w:spacing w:before="10"/>
        <w:rPr>
          <w:sz w:val="20"/>
        </w:rPr>
      </w:pPr>
    </w:p>
    <w:p w14:paraId="3D0B29A4" w14:textId="77777777" w:rsidR="006C0C7C" w:rsidRDefault="005273D3">
      <w:pPr>
        <w:pStyle w:val="ListParagraph"/>
        <w:numPr>
          <w:ilvl w:val="0"/>
          <w:numId w:val="5"/>
        </w:numPr>
        <w:tabs>
          <w:tab w:val="left" w:pos="940"/>
          <w:tab w:val="left" w:pos="941"/>
        </w:tabs>
        <w:spacing w:before="0"/>
        <w:rPr>
          <w:sz w:val="24"/>
        </w:rPr>
      </w:pPr>
      <w:r>
        <w:rPr>
          <w:sz w:val="24"/>
        </w:rPr>
        <w:t>The type of</w:t>
      </w:r>
      <w:r>
        <w:rPr>
          <w:spacing w:val="-4"/>
          <w:sz w:val="24"/>
        </w:rPr>
        <w:t xml:space="preserve"> </w:t>
      </w:r>
      <w:r>
        <w:rPr>
          <w:sz w:val="24"/>
        </w:rPr>
        <w:t>relationship</w:t>
      </w:r>
    </w:p>
    <w:p w14:paraId="704945D4" w14:textId="77777777" w:rsidR="006C0C7C" w:rsidRDefault="006C0C7C">
      <w:pPr>
        <w:pStyle w:val="BodyText"/>
        <w:spacing w:before="1"/>
        <w:rPr>
          <w:sz w:val="21"/>
        </w:rPr>
      </w:pPr>
    </w:p>
    <w:p w14:paraId="4608BA45" w14:textId="77777777" w:rsidR="006C0C7C" w:rsidRDefault="005273D3">
      <w:pPr>
        <w:pStyle w:val="ListParagraph"/>
        <w:numPr>
          <w:ilvl w:val="0"/>
          <w:numId w:val="5"/>
        </w:numPr>
        <w:tabs>
          <w:tab w:val="left" w:pos="940"/>
          <w:tab w:val="left" w:pos="941"/>
        </w:tabs>
        <w:spacing w:before="0"/>
        <w:rPr>
          <w:sz w:val="24"/>
        </w:rPr>
      </w:pPr>
      <w:r>
        <w:rPr>
          <w:sz w:val="24"/>
        </w:rPr>
        <w:t>The frequency of interaction between the persons involved in the</w:t>
      </w:r>
      <w:r>
        <w:rPr>
          <w:spacing w:val="-10"/>
          <w:sz w:val="24"/>
        </w:rPr>
        <w:t xml:space="preserve"> </w:t>
      </w:r>
      <w:r>
        <w:rPr>
          <w:sz w:val="24"/>
        </w:rPr>
        <w:t>relationship</w:t>
      </w:r>
    </w:p>
    <w:p w14:paraId="57DEC467" w14:textId="77777777" w:rsidR="006C0C7C" w:rsidRDefault="006C0C7C">
      <w:pPr>
        <w:pStyle w:val="BodyText"/>
        <w:spacing w:before="10"/>
        <w:rPr>
          <w:sz w:val="20"/>
        </w:rPr>
      </w:pPr>
    </w:p>
    <w:p w14:paraId="41F07354" w14:textId="6B1FBE3D" w:rsidR="002C1B97" w:rsidRDefault="002C1B97" w:rsidP="002C1B97">
      <w:pPr>
        <w:rPr>
          <w:sz w:val="24"/>
          <w:szCs w:val="24"/>
        </w:rPr>
      </w:pPr>
      <w:r w:rsidRPr="003A77AE">
        <w:rPr>
          <w:sz w:val="24"/>
          <w:szCs w:val="24"/>
        </w:rPr>
        <w:t xml:space="preserve">VAWA defines </w:t>
      </w:r>
      <w:r w:rsidRPr="005A3000">
        <w:rPr>
          <w:b/>
          <w:sz w:val="24"/>
          <w:szCs w:val="24"/>
        </w:rPr>
        <w:t>stalking</w:t>
      </w:r>
      <w:r w:rsidRPr="003A77AE">
        <w:rPr>
          <w:sz w:val="24"/>
          <w:szCs w:val="24"/>
        </w:rPr>
        <w:t xml:space="preserve"> as (A)(</w:t>
      </w:r>
      <w:proofErr w:type="spellStart"/>
      <w:r w:rsidRPr="003A77AE">
        <w:rPr>
          <w:sz w:val="24"/>
          <w:szCs w:val="24"/>
        </w:rPr>
        <w:t>i</w:t>
      </w:r>
      <w:proofErr w:type="spellEnd"/>
      <w:r w:rsidRPr="003A77AE">
        <w:rPr>
          <w:sz w:val="24"/>
          <w:szCs w:val="24"/>
        </w:rPr>
        <w:t>) to follow, pursue, or repeatedly commit acts with the intent to kill, injure, harass, or intimidate another person OR (ii) to place under surveillance with the intent to kill, injure, harass, or intimidate another person AND (B) in the course of, or as a result of, such following, pursuit, surveillance, or repeatedly committed acts, to place a person in reasonable fear of the death of, or serious bodily injury to, or to cause substantial emotional harm to (</w:t>
      </w:r>
      <w:proofErr w:type="spellStart"/>
      <w:r w:rsidRPr="003A77AE">
        <w:rPr>
          <w:sz w:val="24"/>
          <w:szCs w:val="24"/>
        </w:rPr>
        <w:t>i</w:t>
      </w:r>
      <w:proofErr w:type="spellEnd"/>
      <w:r w:rsidRPr="003A77AE">
        <w:rPr>
          <w:sz w:val="24"/>
          <w:szCs w:val="24"/>
        </w:rPr>
        <w:t>) that person, (ii) a member of the immediate family of that person, or (iii) the spouse or intimate partner of that person.</w:t>
      </w:r>
    </w:p>
    <w:p w14:paraId="3BD20C8B" w14:textId="77777777" w:rsidR="002C1B97" w:rsidRDefault="002C1B97" w:rsidP="002C1B97">
      <w:pPr>
        <w:rPr>
          <w:sz w:val="24"/>
          <w:szCs w:val="24"/>
        </w:rPr>
      </w:pPr>
    </w:p>
    <w:p w14:paraId="4085339C" w14:textId="77777777" w:rsidR="002C1B97" w:rsidRPr="003A77AE" w:rsidRDefault="002C1B97" w:rsidP="002C1B97">
      <w:pPr>
        <w:rPr>
          <w:sz w:val="24"/>
          <w:szCs w:val="24"/>
        </w:rPr>
      </w:pPr>
      <w:r>
        <w:rPr>
          <w:sz w:val="24"/>
          <w:szCs w:val="24"/>
        </w:rPr>
        <w:t xml:space="preserve">VAWA defines </w:t>
      </w:r>
      <w:r w:rsidRPr="005A3000">
        <w:rPr>
          <w:b/>
          <w:sz w:val="24"/>
          <w:szCs w:val="24"/>
        </w:rPr>
        <w:t>sexual assault</w:t>
      </w:r>
      <w:r>
        <w:rPr>
          <w:sz w:val="24"/>
          <w:szCs w:val="24"/>
        </w:rPr>
        <w:t xml:space="preserve"> as “any nonconsensual sexual act proscribed by Federal, tribal, or State law, including when the victim lacks capacity to consent” (42 U.S.C. 13925(a)).</w:t>
      </w:r>
    </w:p>
    <w:p w14:paraId="5A3922D8" w14:textId="77777777" w:rsidR="002F78C9" w:rsidRDefault="002F78C9" w:rsidP="00E150B8">
      <w:pPr>
        <w:rPr>
          <w:sz w:val="24"/>
          <w:szCs w:val="24"/>
        </w:rPr>
      </w:pPr>
    </w:p>
    <w:sectPr w:rsidR="002F78C9">
      <w:pgSz w:w="12240" w:h="15840"/>
      <w:pgMar w:top="1360" w:right="1220" w:bottom="920" w:left="122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39618C" w14:textId="77777777" w:rsidR="00152C76" w:rsidRDefault="00152C76">
      <w:r>
        <w:separator/>
      </w:r>
    </w:p>
  </w:endnote>
  <w:endnote w:type="continuationSeparator" w:id="0">
    <w:p w14:paraId="6B319390" w14:textId="77777777" w:rsidR="00152C76" w:rsidRDefault="00152C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666ABA" w14:textId="77777777" w:rsidR="00610E4C" w:rsidRDefault="00027397">
    <w:pPr>
      <w:pStyle w:val="BodyText"/>
      <w:spacing w:line="14" w:lineRule="auto"/>
      <w:rPr>
        <w:sz w:val="20"/>
      </w:rPr>
    </w:pPr>
    <w:r>
      <w:pict w14:anchorId="679F3B90">
        <v:shapetype id="_x0000_t202" coordsize="21600,21600" o:spt="202" path="m,l,21600r21600,l21600,xe">
          <v:stroke joinstyle="miter"/>
          <v:path gradientshapeok="t" o:connecttype="rect"/>
        </v:shapetype>
        <v:shape id="_x0000_s2051" type="#_x0000_t202" style="position:absolute;margin-left:71pt;margin-top:744.05pt;width:111pt;height:13.05pt;z-index:-17056;mso-position-horizontal-relative:page;mso-position-vertical-relative:page" filled="f" stroked="f">
          <v:textbox inset="0,0,0,0">
            <w:txbxContent>
              <w:p w14:paraId="4B36494A" w14:textId="671ABF33" w:rsidR="00610E4C" w:rsidRDefault="00610E4C">
                <w:pPr>
                  <w:spacing w:before="10"/>
                  <w:ind w:left="20"/>
                  <w:rPr>
                    <w:sz w:val="20"/>
                  </w:rPr>
                </w:pPr>
                <w:r>
                  <w:rPr>
                    <w:sz w:val="20"/>
                  </w:rPr>
                  <w:t xml:space="preserve">MHA ACOP Rev. </w:t>
                </w:r>
                <w:r w:rsidR="00393636">
                  <w:rPr>
                    <w:sz w:val="20"/>
                  </w:rPr>
                  <w:t>10/2019</w:t>
                </w:r>
              </w:p>
            </w:txbxContent>
          </v:textbox>
          <w10:wrap anchorx="page" anchory="page"/>
        </v:shape>
      </w:pict>
    </w:r>
    <w:r>
      <w:pict w14:anchorId="62BCE9E3">
        <v:shape id="_x0000_s2050" type="#_x0000_t202" style="position:absolute;margin-left:277.45pt;margin-top:744.05pt;width:57.45pt;height:13.05pt;z-index:-17032;mso-position-horizontal-relative:page;mso-position-vertical-relative:page" filled="f" stroked="f">
          <v:textbox inset="0,0,0,0">
            <w:txbxContent>
              <w:p w14:paraId="184FB3C5" w14:textId="77777777" w:rsidR="00610E4C" w:rsidRDefault="00610E4C">
                <w:pPr>
                  <w:spacing w:before="10"/>
                  <w:ind w:left="20"/>
                  <w:rPr>
                    <w:b/>
                    <w:sz w:val="20"/>
                  </w:rPr>
                </w:pPr>
                <w:r w:rsidRPr="00FA50F2">
                  <w:rPr>
                    <w:sz w:val="20"/>
                  </w:rPr>
                  <w:t xml:space="preserve">Page </w:t>
                </w:r>
                <w:r w:rsidRPr="00FA50F2">
                  <w:rPr>
                    <w:b/>
                    <w:bCs/>
                    <w:sz w:val="20"/>
                  </w:rPr>
                  <w:fldChar w:fldCharType="begin"/>
                </w:r>
                <w:r w:rsidRPr="00FA50F2">
                  <w:rPr>
                    <w:b/>
                    <w:bCs/>
                    <w:sz w:val="20"/>
                  </w:rPr>
                  <w:instrText xml:space="preserve"> PAGE  \* Arabic  \* MERGEFORMAT </w:instrText>
                </w:r>
                <w:r w:rsidRPr="00FA50F2">
                  <w:rPr>
                    <w:b/>
                    <w:bCs/>
                    <w:sz w:val="20"/>
                  </w:rPr>
                  <w:fldChar w:fldCharType="separate"/>
                </w:r>
                <w:r w:rsidRPr="00FA50F2">
                  <w:rPr>
                    <w:b/>
                    <w:bCs/>
                    <w:noProof/>
                    <w:sz w:val="20"/>
                  </w:rPr>
                  <w:t>1</w:t>
                </w:r>
                <w:r w:rsidRPr="00FA50F2">
                  <w:rPr>
                    <w:b/>
                    <w:bCs/>
                    <w:sz w:val="20"/>
                  </w:rPr>
                  <w:fldChar w:fldCharType="end"/>
                </w:r>
                <w:r w:rsidRPr="00FA50F2">
                  <w:rPr>
                    <w:sz w:val="20"/>
                  </w:rPr>
                  <w:t xml:space="preserve"> of </w:t>
                </w:r>
                <w:r w:rsidRPr="00FA50F2">
                  <w:rPr>
                    <w:b/>
                    <w:bCs/>
                    <w:sz w:val="20"/>
                  </w:rPr>
                  <w:fldChar w:fldCharType="begin"/>
                </w:r>
                <w:r w:rsidRPr="00FA50F2">
                  <w:rPr>
                    <w:b/>
                    <w:bCs/>
                    <w:sz w:val="20"/>
                  </w:rPr>
                  <w:instrText xml:space="preserve"> NUMPAGES  \* Arabic  \* MERGEFORMAT </w:instrText>
                </w:r>
                <w:r w:rsidRPr="00FA50F2">
                  <w:rPr>
                    <w:b/>
                    <w:bCs/>
                    <w:sz w:val="20"/>
                  </w:rPr>
                  <w:fldChar w:fldCharType="separate"/>
                </w:r>
                <w:r w:rsidRPr="00FA50F2">
                  <w:rPr>
                    <w:b/>
                    <w:bCs/>
                    <w:noProof/>
                    <w:sz w:val="20"/>
                  </w:rPr>
                  <w:t>2</w:t>
                </w:r>
                <w:r w:rsidRPr="00FA50F2">
                  <w:rPr>
                    <w:b/>
                    <w:bCs/>
                    <w:sz w:val="20"/>
                  </w:rPr>
                  <w:fldChar w:fldCharType="end"/>
                </w:r>
              </w:p>
            </w:txbxContent>
          </v:textbox>
          <w10:wrap anchorx="page" anchory="page"/>
        </v:shape>
      </w:pict>
    </w:r>
    <w:r>
      <w:pict w14:anchorId="04659CDC">
        <v:shape id="_x0000_s2049" type="#_x0000_t202" style="position:absolute;margin-left:494.95pt;margin-top:744.05pt;width:46.1pt;height:13.05pt;z-index:-17008;mso-position-horizontal-relative:page;mso-position-vertical-relative:page" filled="f" stroked="f">
          <v:textbox inset="0,0,0,0">
            <w:txbxContent>
              <w:p w14:paraId="3BB4D3B7" w14:textId="77777777" w:rsidR="00610E4C" w:rsidRDefault="00610E4C">
                <w:pPr>
                  <w:spacing w:before="10"/>
                  <w:ind w:left="20"/>
                  <w:rPr>
                    <w:sz w:val="20"/>
                  </w:rPr>
                </w:pPr>
                <w:r>
                  <w:rPr>
                    <w:sz w:val="20"/>
                  </w:rPr>
                  <w:t>Chapter 16</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DA17F3" w14:textId="77777777" w:rsidR="00152C76" w:rsidRDefault="00152C76">
      <w:r>
        <w:separator/>
      </w:r>
    </w:p>
  </w:footnote>
  <w:footnote w:type="continuationSeparator" w:id="0">
    <w:p w14:paraId="06117C80" w14:textId="77777777" w:rsidR="00152C76" w:rsidRDefault="00152C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C436F"/>
    <w:multiLevelType w:val="hybridMultilevel"/>
    <w:tmpl w:val="7E32C256"/>
    <w:lvl w:ilvl="0" w:tplc="F4D2C43C">
      <w:numFmt w:val="bullet"/>
      <w:lvlText w:val="-"/>
      <w:lvlJc w:val="left"/>
      <w:pPr>
        <w:ind w:left="3072" w:hanging="360"/>
      </w:pPr>
      <w:rPr>
        <w:rFonts w:ascii="Times New Roman" w:eastAsia="Times New Roman" w:hAnsi="Times New Roman" w:cs="Times New Roman" w:hint="default"/>
        <w:spacing w:val="-2"/>
        <w:w w:val="99"/>
        <w:sz w:val="24"/>
        <w:szCs w:val="24"/>
        <w:lang w:val="en-US" w:eastAsia="en-US" w:bidi="en-US"/>
      </w:rPr>
    </w:lvl>
    <w:lvl w:ilvl="1" w:tplc="04090003" w:tentative="1">
      <w:start w:val="1"/>
      <w:numFmt w:val="bullet"/>
      <w:lvlText w:val="o"/>
      <w:lvlJc w:val="left"/>
      <w:pPr>
        <w:ind w:left="3792" w:hanging="360"/>
      </w:pPr>
      <w:rPr>
        <w:rFonts w:ascii="Courier New" w:hAnsi="Courier New" w:cs="Courier New" w:hint="default"/>
      </w:rPr>
    </w:lvl>
    <w:lvl w:ilvl="2" w:tplc="04090005" w:tentative="1">
      <w:start w:val="1"/>
      <w:numFmt w:val="bullet"/>
      <w:lvlText w:val=""/>
      <w:lvlJc w:val="left"/>
      <w:pPr>
        <w:ind w:left="4512" w:hanging="360"/>
      </w:pPr>
      <w:rPr>
        <w:rFonts w:ascii="Wingdings" w:hAnsi="Wingdings" w:hint="default"/>
      </w:rPr>
    </w:lvl>
    <w:lvl w:ilvl="3" w:tplc="04090001" w:tentative="1">
      <w:start w:val="1"/>
      <w:numFmt w:val="bullet"/>
      <w:lvlText w:val=""/>
      <w:lvlJc w:val="left"/>
      <w:pPr>
        <w:ind w:left="5232" w:hanging="360"/>
      </w:pPr>
      <w:rPr>
        <w:rFonts w:ascii="Symbol" w:hAnsi="Symbol" w:hint="default"/>
      </w:rPr>
    </w:lvl>
    <w:lvl w:ilvl="4" w:tplc="04090003" w:tentative="1">
      <w:start w:val="1"/>
      <w:numFmt w:val="bullet"/>
      <w:lvlText w:val="o"/>
      <w:lvlJc w:val="left"/>
      <w:pPr>
        <w:ind w:left="5952" w:hanging="360"/>
      </w:pPr>
      <w:rPr>
        <w:rFonts w:ascii="Courier New" w:hAnsi="Courier New" w:cs="Courier New" w:hint="default"/>
      </w:rPr>
    </w:lvl>
    <w:lvl w:ilvl="5" w:tplc="04090005" w:tentative="1">
      <w:start w:val="1"/>
      <w:numFmt w:val="bullet"/>
      <w:lvlText w:val=""/>
      <w:lvlJc w:val="left"/>
      <w:pPr>
        <w:ind w:left="6672" w:hanging="360"/>
      </w:pPr>
      <w:rPr>
        <w:rFonts w:ascii="Wingdings" w:hAnsi="Wingdings" w:hint="default"/>
      </w:rPr>
    </w:lvl>
    <w:lvl w:ilvl="6" w:tplc="04090001" w:tentative="1">
      <w:start w:val="1"/>
      <w:numFmt w:val="bullet"/>
      <w:lvlText w:val=""/>
      <w:lvlJc w:val="left"/>
      <w:pPr>
        <w:ind w:left="7392" w:hanging="360"/>
      </w:pPr>
      <w:rPr>
        <w:rFonts w:ascii="Symbol" w:hAnsi="Symbol" w:hint="default"/>
      </w:rPr>
    </w:lvl>
    <w:lvl w:ilvl="7" w:tplc="04090003" w:tentative="1">
      <w:start w:val="1"/>
      <w:numFmt w:val="bullet"/>
      <w:lvlText w:val="o"/>
      <w:lvlJc w:val="left"/>
      <w:pPr>
        <w:ind w:left="8112" w:hanging="360"/>
      </w:pPr>
      <w:rPr>
        <w:rFonts w:ascii="Courier New" w:hAnsi="Courier New" w:cs="Courier New" w:hint="default"/>
      </w:rPr>
    </w:lvl>
    <w:lvl w:ilvl="8" w:tplc="04090005" w:tentative="1">
      <w:start w:val="1"/>
      <w:numFmt w:val="bullet"/>
      <w:lvlText w:val=""/>
      <w:lvlJc w:val="left"/>
      <w:pPr>
        <w:ind w:left="8832" w:hanging="360"/>
      </w:pPr>
      <w:rPr>
        <w:rFonts w:ascii="Wingdings" w:hAnsi="Wingdings" w:hint="default"/>
      </w:rPr>
    </w:lvl>
  </w:abstractNum>
  <w:abstractNum w:abstractNumId="1" w15:restartNumberingAfterBreak="0">
    <w:nsid w:val="0AC71B88"/>
    <w:multiLevelType w:val="hybridMultilevel"/>
    <w:tmpl w:val="B7A85C64"/>
    <w:lvl w:ilvl="0" w:tplc="F4D2C43C">
      <w:numFmt w:val="bullet"/>
      <w:lvlText w:val="-"/>
      <w:lvlJc w:val="left"/>
      <w:pPr>
        <w:ind w:left="2380" w:hanging="720"/>
      </w:pPr>
      <w:rPr>
        <w:rFonts w:ascii="Times New Roman" w:eastAsia="Times New Roman" w:hAnsi="Times New Roman" w:cs="Times New Roman" w:hint="default"/>
        <w:spacing w:val="-2"/>
        <w:w w:val="99"/>
        <w:sz w:val="24"/>
        <w:szCs w:val="24"/>
        <w:lang w:val="en-US" w:eastAsia="en-US" w:bidi="en-US"/>
      </w:rPr>
    </w:lvl>
    <w:lvl w:ilvl="1" w:tplc="EDCEB5DA">
      <w:numFmt w:val="bullet"/>
      <w:lvlText w:val="•"/>
      <w:lvlJc w:val="left"/>
      <w:pPr>
        <w:ind w:left="3122" w:hanging="720"/>
      </w:pPr>
      <w:rPr>
        <w:rFonts w:hint="default"/>
        <w:lang w:val="en-US" w:eastAsia="en-US" w:bidi="en-US"/>
      </w:rPr>
    </w:lvl>
    <w:lvl w:ilvl="2" w:tplc="15085804">
      <w:numFmt w:val="bullet"/>
      <w:lvlText w:val="•"/>
      <w:lvlJc w:val="left"/>
      <w:pPr>
        <w:ind w:left="3864" w:hanging="720"/>
      </w:pPr>
      <w:rPr>
        <w:rFonts w:hint="default"/>
        <w:lang w:val="en-US" w:eastAsia="en-US" w:bidi="en-US"/>
      </w:rPr>
    </w:lvl>
    <w:lvl w:ilvl="3" w:tplc="0BE490D2">
      <w:numFmt w:val="bullet"/>
      <w:lvlText w:val="•"/>
      <w:lvlJc w:val="left"/>
      <w:pPr>
        <w:ind w:left="4606" w:hanging="720"/>
      </w:pPr>
      <w:rPr>
        <w:rFonts w:hint="default"/>
        <w:lang w:val="en-US" w:eastAsia="en-US" w:bidi="en-US"/>
      </w:rPr>
    </w:lvl>
    <w:lvl w:ilvl="4" w:tplc="49B89BC6">
      <w:numFmt w:val="bullet"/>
      <w:lvlText w:val="•"/>
      <w:lvlJc w:val="left"/>
      <w:pPr>
        <w:ind w:left="5348" w:hanging="720"/>
      </w:pPr>
      <w:rPr>
        <w:rFonts w:hint="default"/>
        <w:lang w:val="en-US" w:eastAsia="en-US" w:bidi="en-US"/>
      </w:rPr>
    </w:lvl>
    <w:lvl w:ilvl="5" w:tplc="95EC0972">
      <w:numFmt w:val="bullet"/>
      <w:lvlText w:val="•"/>
      <w:lvlJc w:val="left"/>
      <w:pPr>
        <w:ind w:left="6090" w:hanging="720"/>
      </w:pPr>
      <w:rPr>
        <w:rFonts w:hint="default"/>
        <w:lang w:val="en-US" w:eastAsia="en-US" w:bidi="en-US"/>
      </w:rPr>
    </w:lvl>
    <w:lvl w:ilvl="6" w:tplc="B37E78C2">
      <w:numFmt w:val="bullet"/>
      <w:lvlText w:val="•"/>
      <w:lvlJc w:val="left"/>
      <w:pPr>
        <w:ind w:left="6832" w:hanging="720"/>
      </w:pPr>
      <w:rPr>
        <w:rFonts w:hint="default"/>
        <w:lang w:val="en-US" w:eastAsia="en-US" w:bidi="en-US"/>
      </w:rPr>
    </w:lvl>
    <w:lvl w:ilvl="7" w:tplc="4510CBB2">
      <w:numFmt w:val="bullet"/>
      <w:lvlText w:val="•"/>
      <w:lvlJc w:val="left"/>
      <w:pPr>
        <w:ind w:left="7574" w:hanging="720"/>
      </w:pPr>
      <w:rPr>
        <w:rFonts w:hint="default"/>
        <w:lang w:val="en-US" w:eastAsia="en-US" w:bidi="en-US"/>
      </w:rPr>
    </w:lvl>
    <w:lvl w:ilvl="8" w:tplc="E83CC728">
      <w:numFmt w:val="bullet"/>
      <w:lvlText w:val="•"/>
      <w:lvlJc w:val="left"/>
      <w:pPr>
        <w:ind w:left="8316" w:hanging="720"/>
      </w:pPr>
      <w:rPr>
        <w:rFonts w:hint="default"/>
        <w:lang w:val="en-US" w:eastAsia="en-US" w:bidi="en-US"/>
      </w:rPr>
    </w:lvl>
  </w:abstractNum>
  <w:abstractNum w:abstractNumId="2" w15:restartNumberingAfterBreak="0">
    <w:nsid w:val="13D57816"/>
    <w:multiLevelType w:val="hybridMultilevel"/>
    <w:tmpl w:val="906E3FDC"/>
    <w:lvl w:ilvl="0" w:tplc="37B0C09A">
      <w:start w:val="1"/>
      <w:numFmt w:val="decimal"/>
      <w:lvlText w:val="(%1)"/>
      <w:lvlJc w:val="left"/>
      <w:pPr>
        <w:ind w:left="220" w:hanging="720"/>
      </w:pPr>
      <w:rPr>
        <w:rFonts w:ascii="Times New Roman" w:eastAsia="Times New Roman" w:hAnsi="Times New Roman" w:cs="Times New Roman" w:hint="default"/>
        <w:spacing w:val="-3"/>
        <w:w w:val="99"/>
        <w:sz w:val="24"/>
        <w:szCs w:val="24"/>
        <w:lang w:val="en-US" w:eastAsia="en-US" w:bidi="en-US"/>
      </w:rPr>
    </w:lvl>
    <w:lvl w:ilvl="1" w:tplc="8DC41E1C">
      <w:numFmt w:val="bullet"/>
      <w:lvlText w:val="•"/>
      <w:lvlJc w:val="left"/>
      <w:pPr>
        <w:ind w:left="1178" w:hanging="720"/>
      </w:pPr>
      <w:rPr>
        <w:rFonts w:hint="default"/>
        <w:lang w:val="en-US" w:eastAsia="en-US" w:bidi="en-US"/>
      </w:rPr>
    </w:lvl>
    <w:lvl w:ilvl="2" w:tplc="6DD86F94">
      <w:numFmt w:val="bullet"/>
      <w:lvlText w:val="•"/>
      <w:lvlJc w:val="left"/>
      <w:pPr>
        <w:ind w:left="2136" w:hanging="720"/>
      </w:pPr>
      <w:rPr>
        <w:rFonts w:hint="default"/>
        <w:lang w:val="en-US" w:eastAsia="en-US" w:bidi="en-US"/>
      </w:rPr>
    </w:lvl>
    <w:lvl w:ilvl="3" w:tplc="04081224">
      <w:numFmt w:val="bullet"/>
      <w:lvlText w:val="•"/>
      <w:lvlJc w:val="left"/>
      <w:pPr>
        <w:ind w:left="3094" w:hanging="720"/>
      </w:pPr>
      <w:rPr>
        <w:rFonts w:hint="default"/>
        <w:lang w:val="en-US" w:eastAsia="en-US" w:bidi="en-US"/>
      </w:rPr>
    </w:lvl>
    <w:lvl w:ilvl="4" w:tplc="2FAE79A6">
      <w:numFmt w:val="bullet"/>
      <w:lvlText w:val="•"/>
      <w:lvlJc w:val="left"/>
      <w:pPr>
        <w:ind w:left="4052" w:hanging="720"/>
      </w:pPr>
      <w:rPr>
        <w:rFonts w:hint="default"/>
        <w:lang w:val="en-US" w:eastAsia="en-US" w:bidi="en-US"/>
      </w:rPr>
    </w:lvl>
    <w:lvl w:ilvl="5" w:tplc="791C8754">
      <w:numFmt w:val="bullet"/>
      <w:lvlText w:val="•"/>
      <w:lvlJc w:val="left"/>
      <w:pPr>
        <w:ind w:left="5010" w:hanging="720"/>
      </w:pPr>
      <w:rPr>
        <w:rFonts w:hint="default"/>
        <w:lang w:val="en-US" w:eastAsia="en-US" w:bidi="en-US"/>
      </w:rPr>
    </w:lvl>
    <w:lvl w:ilvl="6" w:tplc="31FAC0AC">
      <w:numFmt w:val="bullet"/>
      <w:lvlText w:val="•"/>
      <w:lvlJc w:val="left"/>
      <w:pPr>
        <w:ind w:left="5968" w:hanging="720"/>
      </w:pPr>
      <w:rPr>
        <w:rFonts w:hint="default"/>
        <w:lang w:val="en-US" w:eastAsia="en-US" w:bidi="en-US"/>
      </w:rPr>
    </w:lvl>
    <w:lvl w:ilvl="7" w:tplc="3BE4E3E8">
      <w:numFmt w:val="bullet"/>
      <w:lvlText w:val="•"/>
      <w:lvlJc w:val="left"/>
      <w:pPr>
        <w:ind w:left="6926" w:hanging="720"/>
      </w:pPr>
      <w:rPr>
        <w:rFonts w:hint="default"/>
        <w:lang w:val="en-US" w:eastAsia="en-US" w:bidi="en-US"/>
      </w:rPr>
    </w:lvl>
    <w:lvl w:ilvl="8" w:tplc="D6A02EB0">
      <w:numFmt w:val="bullet"/>
      <w:lvlText w:val="•"/>
      <w:lvlJc w:val="left"/>
      <w:pPr>
        <w:ind w:left="7884" w:hanging="720"/>
      </w:pPr>
      <w:rPr>
        <w:rFonts w:hint="default"/>
        <w:lang w:val="en-US" w:eastAsia="en-US" w:bidi="en-US"/>
      </w:rPr>
    </w:lvl>
  </w:abstractNum>
  <w:abstractNum w:abstractNumId="3" w15:restartNumberingAfterBreak="0">
    <w:nsid w:val="1765372D"/>
    <w:multiLevelType w:val="hybridMultilevel"/>
    <w:tmpl w:val="E7FC7190"/>
    <w:lvl w:ilvl="0" w:tplc="F4D2C43C">
      <w:numFmt w:val="bullet"/>
      <w:lvlText w:val="-"/>
      <w:lvlJc w:val="left"/>
      <w:pPr>
        <w:ind w:left="2520" w:hanging="360"/>
      </w:pPr>
      <w:rPr>
        <w:rFonts w:ascii="Times New Roman" w:eastAsia="Times New Roman" w:hAnsi="Times New Roman" w:cs="Times New Roman" w:hint="default"/>
        <w:spacing w:val="-2"/>
        <w:w w:val="99"/>
        <w:sz w:val="24"/>
        <w:szCs w:val="24"/>
        <w:lang w:val="en-US" w:eastAsia="en-US" w:bidi="en-US"/>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 w15:restartNumberingAfterBreak="0">
    <w:nsid w:val="2A040BF2"/>
    <w:multiLevelType w:val="hybridMultilevel"/>
    <w:tmpl w:val="CEC4EDC6"/>
    <w:lvl w:ilvl="0" w:tplc="6896DA84">
      <w:numFmt w:val="bullet"/>
      <w:lvlText w:val=""/>
      <w:lvlJc w:val="left"/>
      <w:pPr>
        <w:ind w:left="940" w:hanging="360"/>
      </w:pPr>
      <w:rPr>
        <w:rFonts w:ascii="Symbol" w:eastAsia="Symbol" w:hAnsi="Symbol" w:cs="Symbol" w:hint="default"/>
        <w:w w:val="100"/>
        <w:sz w:val="24"/>
        <w:szCs w:val="24"/>
        <w:lang w:val="en-US" w:eastAsia="en-US" w:bidi="en-US"/>
      </w:rPr>
    </w:lvl>
    <w:lvl w:ilvl="1" w:tplc="AED6D4F2">
      <w:numFmt w:val="bullet"/>
      <w:lvlText w:val="•"/>
      <w:lvlJc w:val="left"/>
      <w:pPr>
        <w:ind w:left="1826" w:hanging="360"/>
      </w:pPr>
      <w:rPr>
        <w:rFonts w:hint="default"/>
        <w:lang w:val="en-US" w:eastAsia="en-US" w:bidi="en-US"/>
      </w:rPr>
    </w:lvl>
    <w:lvl w:ilvl="2" w:tplc="0A2CB062">
      <w:numFmt w:val="bullet"/>
      <w:lvlText w:val="•"/>
      <w:lvlJc w:val="left"/>
      <w:pPr>
        <w:ind w:left="2712" w:hanging="360"/>
      </w:pPr>
      <w:rPr>
        <w:rFonts w:hint="default"/>
        <w:lang w:val="en-US" w:eastAsia="en-US" w:bidi="en-US"/>
      </w:rPr>
    </w:lvl>
    <w:lvl w:ilvl="3" w:tplc="1D78D23E">
      <w:numFmt w:val="bullet"/>
      <w:lvlText w:val="•"/>
      <w:lvlJc w:val="left"/>
      <w:pPr>
        <w:ind w:left="3598" w:hanging="360"/>
      </w:pPr>
      <w:rPr>
        <w:rFonts w:hint="default"/>
        <w:lang w:val="en-US" w:eastAsia="en-US" w:bidi="en-US"/>
      </w:rPr>
    </w:lvl>
    <w:lvl w:ilvl="4" w:tplc="14AA3108">
      <w:numFmt w:val="bullet"/>
      <w:lvlText w:val="•"/>
      <w:lvlJc w:val="left"/>
      <w:pPr>
        <w:ind w:left="4484" w:hanging="360"/>
      </w:pPr>
      <w:rPr>
        <w:rFonts w:hint="default"/>
        <w:lang w:val="en-US" w:eastAsia="en-US" w:bidi="en-US"/>
      </w:rPr>
    </w:lvl>
    <w:lvl w:ilvl="5" w:tplc="645A4266">
      <w:numFmt w:val="bullet"/>
      <w:lvlText w:val="•"/>
      <w:lvlJc w:val="left"/>
      <w:pPr>
        <w:ind w:left="5370" w:hanging="360"/>
      </w:pPr>
      <w:rPr>
        <w:rFonts w:hint="default"/>
        <w:lang w:val="en-US" w:eastAsia="en-US" w:bidi="en-US"/>
      </w:rPr>
    </w:lvl>
    <w:lvl w:ilvl="6" w:tplc="C9266EF0">
      <w:numFmt w:val="bullet"/>
      <w:lvlText w:val="•"/>
      <w:lvlJc w:val="left"/>
      <w:pPr>
        <w:ind w:left="6256" w:hanging="360"/>
      </w:pPr>
      <w:rPr>
        <w:rFonts w:hint="default"/>
        <w:lang w:val="en-US" w:eastAsia="en-US" w:bidi="en-US"/>
      </w:rPr>
    </w:lvl>
    <w:lvl w:ilvl="7" w:tplc="8A9871A0">
      <w:numFmt w:val="bullet"/>
      <w:lvlText w:val="•"/>
      <w:lvlJc w:val="left"/>
      <w:pPr>
        <w:ind w:left="7142" w:hanging="360"/>
      </w:pPr>
      <w:rPr>
        <w:rFonts w:hint="default"/>
        <w:lang w:val="en-US" w:eastAsia="en-US" w:bidi="en-US"/>
      </w:rPr>
    </w:lvl>
    <w:lvl w:ilvl="8" w:tplc="7A9E7854">
      <w:numFmt w:val="bullet"/>
      <w:lvlText w:val="•"/>
      <w:lvlJc w:val="left"/>
      <w:pPr>
        <w:ind w:left="8028" w:hanging="360"/>
      </w:pPr>
      <w:rPr>
        <w:rFonts w:hint="default"/>
        <w:lang w:val="en-US" w:eastAsia="en-US" w:bidi="en-US"/>
      </w:rPr>
    </w:lvl>
  </w:abstractNum>
  <w:abstractNum w:abstractNumId="5" w15:restartNumberingAfterBreak="0">
    <w:nsid w:val="477B047B"/>
    <w:multiLevelType w:val="hybridMultilevel"/>
    <w:tmpl w:val="144607F4"/>
    <w:lvl w:ilvl="0" w:tplc="91AAA092">
      <w:numFmt w:val="bullet"/>
      <w:lvlText w:val="•"/>
      <w:lvlJc w:val="left"/>
      <w:pPr>
        <w:ind w:left="940" w:hanging="720"/>
      </w:pPr>
      <w:rPr>
        <w:rFonts w:ascii="Times New Roman" w:eastAsia="Times New Roman" w:hAnsi="Times New Roman" w:cs="Times New Roman" w:hint="default"/>
        <w:spacing w:val="-5"/>
        <w:w w:val="99"/>
        <w:sz w:val="24"/>
        <w:szCs w:val="24"/>
        <w:lang w:val="en-US" w:eastAsia="en-US" w:bidi="en-US"/>
      </w:rPr>
    </w:lvl>
    <w:lvl w:ilvl="1" w:tplc="A04E7D02">
      <w:numFmt w:val="bullet"/>
      <w:lvlText w:val=""/>
      <w:lvlJc w:val="left"/>
      <w:pPr>
        <w:ind w:left="940" w:hanging="360"/>
      </w:pPr>
      <w:rPr>
        <w:rFonts w:ascii="Symbol" w:eastAsia="Symbol" w:hAnsi="Symbol" w:cs="Symbol" w:hint="default"/>
        <w:w w:val="100"/>
        <w:sz w:val="24"/>
        <w:szCs w:val="24"/>
        <w:lang w:val="en-US" w:eastAsia="en-US" w:bidi="en-US"/>
      </w:rPr>
    </w:lvl>
    <w:lvl w:ilvl="2" w:tplc="5AE0C11C">
      <w:numFmt w:val="bullet"/>
      <w:lvlText w:val="•"/>
      <w:lvlJc w:val="left"/>
      <w:pPr>
        <w:ind w:left="2712" w:hanging="360"/>
      </w:pPr>
      <w:rPr>
        <w:rFonts w:hint="default"/>
        <w:lang w:val="en-US" w:eastAsia="en-US" w:bidi="en-US"/>
      </w:rPr>
    </w:lvl>
    <w:lvl w:ilvl="3" w:tplc="FE66240E">
      <w:numFmt w:val="bullet"/>
      <w:lvlText w:val="•"/>
      <w:lvlJc w:val="left"/>
      <w:pPr>
        <w:ind w:left="3598" w:hanging="360"/>
      </w:pPr>
      <w:rPr>
        <w:rFonts w:hint="default"/>
        <w:lang w:val="en-US" w:eastAsia="en-US" w:bidi="en-US"/>
      </w:rPr>
    </w:lvl>
    <w:lvl w:ilvl="4" w:tplc="78061296">
      <w:numFmt w:val="bullet"/>
      <w:lvlText w:val="•"/>
      <w:lvlJc w:val="left"/>
      <w:pPr>
        <w:ind w:left="4484" w:hanging="360"/>
      </w:pPr>
      <w:rPr>
        <w:rFonts w:hint="default"/>
        <w:lang w:val="en-US" w:eastAsia="en-US" w:bidi="en-US"/>
      </w:rPr>
    </w:lvl>
    <w:lvl w:ilvl="5" w:tplc="61DCC090">
      <w:numFmt w:val="bullet"/>
      <w:lvlText w:val="•"/>
      <w:lvlJc w:val="left"/>
      <w:pPr>
        <w:ind w:left="5370" w:hanging="360"/>
      </w:pPr>
      <w:rPr>
        <w:rFonts w:hint="default"/>
        <w:lang w:val="en-US" w:eastAsia="en-US" w:bidi="en-US"/>
      </w:rPr>
    </w:lvl>
    <w:lvl w:ilvl="6" w:tplc="CA8E229A">
      <w:numFmt w:val="bullet"/>
      <w:lvlText w:val="•"/>
      <w:lvlJc w:val="left"/>
      <w:pPr>
        <w:ind w:left="6256" w:hanging="360"/>
      </w:pPr>
      <w:rPr>
        <w:rFonts w:hint="default"/>
        <w:lang w:val="en-US" w:eastAsia="en-US" w:bidi="en-US"/>
      </w:rPr>
    </w:lvl>
    <w:lvl w:ilvl="7" w:tplc="C57EFC26">
      <w:numFmt w:val="bullet"/>
      <w:lvlText w:val="•"/>
      <w:lvlJc w:val="left"/>
      <w:pPr>
        <w:ind w:left="7142" w:hanging="360"/>
      </w:pPr>
      <w:rPr>
        <w:rFonts w:hint="default"/>
        <w:lang w:val="en-US" w:eastAsia="en-US" w:bidi="en-US"/>
      </w:rPr>
    </w:lvl>
    <w:lvl w:ilvl="8" w:tplc="D41247F8">
      <w:numFmt w:val="bullet"/>
      <w:lvlText w:val="•"/>
      <w:lvlJc w:val="left"/>
      <w:pPr>
        <w:ind w:left="8028" w:hanging="360"/>
      </w:pPr>
      <w:rPr>
        <w:rFonts w:hint="default"/>
        <w:lang w:val="en-US" w:eastAsia="en-US" w:bidi="en-US"/>
      </w:rPr>
    </w:lvl>
  </w:abstractNum>
  <w:abstractNum w:abstractNumId="6" w15:restartNumberingAfterBreak="0">
    <w:nsid w:val="4BFB25F2"/>
    <w:multiLevelType w:val="hybridMultilevel"/>
    <w:tmpl w:val="02CCAD4E"/>
    <w:lvl w:ilvl="0" w:tplc="0638063C">
      <w:numFmt w:val="bullet"/>
      <w:lvlText w:val="-"/>
      <w:lvlJc w:val="left"/>
      <w:pPr>
        <w:ind w:left="2380" w:hanging="720"/>
      </w:pPr>
      <w:rPr>
        <w:rFonts w:ascii="Times New Roman" w:eastAsia="Times New Roman" w:hAnsi="Times New Roman" w:cs="Times New Roman" w:hint="default"/>
        <w:spacing w:val="-5"/>
        <w:w w:val="99"/>
        <w:sz w:val="24"/>
        <w:szCs w:val="24"/>
        <w:lang w:val="en-US" w:eastAsia="en-US" w:bidi="en-US"/>
      </w:rPr>
    </w:lvl>
    <w:lvl w:ilvl="1" w:tplc="751418E6">
      <w:numFmt w:val="bullet"/>
      <w:lvlText w:val="•"/>
      <w:lvlJc w:val="left"/>
      <w:pPr>
        <w:ind w:left="3122" w:hanging="720"/>
      </w:pPr>
      <w:rPr>
        <w:rFonts w:hint="default"/>
        <w:lang w:val="en-US" w:eastAsia="en-US" w:bidi="en-US"/>
      </w:rPr>
    </w:lvl>
    <w:lvl w:ilvl="2" w:tplc="A2761A0E">
      <w:numFmt w:val="bullet"/>
      <w:lvlText w:val="•"/>
      <w:lvlJc w:val="left"/>
      <w:pPr>
        <w:ind w:left="3864" w:hanging="720"/>
      </w:pPr>
      <w:rPr>
        <w:rFonts w:hint="default"/>
        <w:lang w:val="en-US" w:eastAsia="en-US" w:bidi="en-US"/>
      </w:rPr>
    </w:lvl>
    <w:lvl w:ilvl="3" w:tplc="DF46245C">
      <w:numFmt w:val="bullet"/>
      <w:lvlText w:val="•"/>
      <w:lvlJc w:val="left"/>
      <w:pPr>
        <w:ind w:left="4606" w:hanging="720"/>
      </w:pPr>
      <w:rPr>
        <w:rFonts w:hint="default"/>
        <w:lang w:val="en-US" w:eastAsia="en-US" w:bidi="en-US"/>
      </w:rPr>
    </w:lvl>
    <w:lvl w:ilvl="4" w:tplc="2D2A09E2">
      <w:numFmt w:val="bullet"/>
      <w:lvlText w:val="•"/>
      <w:lvlJc w:val="left"/>
      <w:pPr>
        <w:ind w:left="5348" w:hanging="720"/>
      </w:pPr>
      <w:rPr>
        <w:rFonts w:hint="default"/>
        <w:lang w:val="en-US" w:eastAsia="en-US" w:bidi="en-US"/>
      </w:rPr>
    </w:lvl>
    <w:lvl w:ilvl="5" w:tplc="724C4C1E">
      <w:numFmt w:val="bullet"/>
      <w:lvlText w:val="•"/>
      <w:lvlJc w:val="left"/>
      <w:pPr>
        <w:ind w:left="6090" w:hanging="720"/>
      </w:pPr>
      <w:rPr>
        <w:rFonts w:hint="default"/>
        <w:lang w:val="en-US" w:eastAsia="en-US" w:bidi="en-US"/>
      </w:rPr>
    </w:lvl>
    <w:lvl w:ilvl="6" w:tplc="6ADACD4A">
      <w:numFmt w:val="bullet"/>
      <w:lvlText w:val="•"/>
      <w:lvlJc w:val="left"/>
      <w:pPr>
        <w:ind w:left="6832" w:hanging="720"/>
      </w:pPr>
      <w:rPr>
        <w:rFonts w:hint="default"/>
        <w:lang w:val="en-US" w:eastAsia="en-US" w:bidi="en-US"/>
      </w:rPr>
    </w:lvl>
    <w:lvl w:ilvl="7" w:tplc="0BCCCE06">
      <w:numFmt w:val="bullet"/>
      <w:lvlText w:val="•"/>
      <w:lvlJc w:val="left"/>
      <w:pPr>
        <w:ind w:left="7574" w:hanging="720"/>
      </w:pPr>
      <w:rPr>
        <w:rFonts w:hint="default"/>
        <w:lang w:val="en-US" w:eastAsia="en-US" w:bidi="en-US"/>
      </w:rPr>
    </w:lvl>
    <w:lvl w:ilvl="8" w:tplc="75E09218">
      <w:numFmt w:val="bullet"/>
      <w:lvlText w:val="•"/>
      <w:lvlJc w:val="left"/>
      <w:pPr>
        <w:ind w:left="8316" w:hanging="720"/>
      </w:pPr>
      <w:rPr>
        <w:rFonts w:hint="default"/>
        <w:lang w:val="en-US" w:eastAsia="en-US" w:bidi="en-US"/>
      </w:rPr>
    </w:lvl>
  </w:abstractNum>
  <w:abstractNum w:abstractNumId="7" w15:restartNumberingAfterBreak="0">
    <w:nsid w:val="63F339B1"/>
    <w:multiLevelType w:val="hybridMultilevel"/>
    <w:tmpl w:val="17C063D8"/>
    <w:lvl w:ilvl="0" w:tplc="B09A794C">
      <w:numFmt w:val="bullet"/>
      <w:lvlText w:val="-"/>
      <w:lvlJc w:val="left"/>
      <w:pPr>
        <w:ind w:left="2380" w:hanging="720"/>
      </w:pPr>
      <w:rPr>
        <w:rFonts w:ascii="Times New Roman" w:eastAsia="Times New Roman" w:hAnsi="Times New Roman" w:cs="Times New Roman" w:hint="default"/>
        <w:spacing w:val="-3"/>
        <w:w w:val="99"/>
        <w:sz w:val="24"/>
        <w:szCs w:val="24"/>
        <w:lang w:val="en-US" w:eastAsia="en-US" w:bidi="en-US"/>
      </w:rPr>
    </w:lvl>
    <w:lvl w:ilvl="1" w:tplc="FFA4E2C4">
      <w:numFmt w:val="bullet"/>
      <w:lvlText w:val="•"/>
      <w:lvlJc w:val="left"/>
      <w:pPr>
        <w:ind w:left="3122" w:hanging="720"/>
      </w:pPr>
      <w:rPr>
        <w:rFonts w:hint="default"/>
        <w:lang w:val="en-US" w:eastAsia="en-US" w:bidi="en-US"/>
      </w:rPr>
    </w:lvl>
    <w:lvl w:ilvl="2" w:tplc="F7BA3F18">
      <w:numFmt w:val="bullet"/>
      <w:lvlText w:val="•"/>
      <w:lvlJc w:val="left"/>
      <w:pPr>
        <w:ind w:left="3864" w:hanging="720"/>
      </w:pPr>
      <w:rPr>
        <w:rFonts w:hint="default"/>
        <w:lang w:val="en-US" w:eastAsia="en-US" w:bidi="en-US"/>
      </w:rPr>
    </w:lvl>
    <w:lvl w:ilvl="3" w:tplc="0A3C1B6E">
      <w:numFmt w:val="bullet"/>
      <w:lvlText w:val="•"/>
      <w:lvlJc w:val="left"/>
      <w:pPr>
        <w:ind w:left="4606" w:hanging="720"/>
      </w:pPr>
      <w:rPr>
        <w:rFonts w:hint="default"/>
        <w:lang w:val="en-US" w:eastAsia="en-US" w:bidi="en-US"/>
      </w:rPr>
    </w:lvl>
    <w:lvl w:ilvl="4" w:tplc="CAAE092C">
      <w:numFmt w:val="bullet"/>
      <w:lvlText w:val="•"/>
      <w:lvlJc w:val="left"/>
      <w:pPr>
        <w:ind w:left="5348" w:hanging="720"/>
      </w:pPr>
      <w:rPr>
        <w:rFonts w:hint="default"/>
        <w:lang w:val="en-US" w:eastAsia="en-US" w:bidi="en-US"/>
      </w:rPr>
    </w:lvl>
    <w:lvl w:ilvl="5" w:tplc="223E03FC">
      <w:numFmt w:val="bullet"/>
      <w:lvlText w:val="•"/>
      <w:lvlJc w:val="left"/>
      <w:pPr>
        <w:ind w:left="6090" w:hanging="720"/>
      </w:pPr>
      <w:rPr>
        <w:rFonts w:hint="default"/>
        <w:lang w:val="en-US" w:eastAsia="en-US" w:bidi="en-US"/>
      </w:rPr>
    </w:lvl>
    <w:lvl w:ilvl="6" w:tplc="4A4CCA18">
      <w:numFmt w:val="bullet"/>
      <w:lvlText w:val="•"/>
      <w:lvlJc w:val="left"/>
      <w:pPr>
        <w:ind w:left="6832" w:hanging="720"/>
      </w:pPr>
      <w:rPr>
        <w:rFonts w:hint="default"/>
        <w:lang w:val="en-US" w:eastAsia="en-US" w:bidi="en-US"/>
      </w:rPr>
    </w:lvl>
    <w:lvl w:ilvl="7" w:tplc="7C02D9A4">
      <w:numFmt w:val="bullet"/>
      <w:lvlText w:val="•"/>
      <w:lvlJc w:val="left"/>
      <w:pPr>
        <w:ind w:left="7574" w:hanging="720"/>
      </w:pPr>
      <w:rPr>
        <w:rFonts w:hint="default"/>
        <w:lang w:val="en-US" w:eastAsia="en-US" w:bidi="en-US"/>
      </w:rPr>
    </w:lvl>
    <w:lvl w:ilvl="8" w:tplc="1794E624">
      <w:numFmt w:val="bullet"/>
      <w:lvlText w:val="•"/>
      <w:lvlJc w:val="left"/>
      <w:pPr>
        <w:ind w:left="8316" w:hanging="720"/>
      </w:pPr>
      <w:rPr>
        <w:rFonts w:hint="default"/>
        <w:lang w:val="en-US" w:eastAsia="en-US" w:bidi="en-US"/>
      </w:rPr>
    </w:lvl>
  </w:abstractNum>
  <w:abstractNum w:abstractNumId="8" w15:restartNumberingAfterBreak="0">
    <w:nsid w:val="7F8D2102"/>
    <w:multiLevelType w:val="hybridMultilevel"/>
    <w:tmpl w:val="EF9016E6"/>
    <w:lvl w:ilvl="0" w:tplc="F4D2C43C">
      <w:numFmt w:val="bullet"/>
      <w:lvlText w:val="-"/>
      <w:lvlJc w:val="left"/>
      <w:pPr>
        <w:ind w:left="2520" w:hanging="360"/>
      </w:pPr>
      <w:rPr>
        <w:rFonts w:ascii="Times New Roman" w:eastAsia="Times New Roman" w:hAnsi="Times New Roman" w:cs="Times New Roman" w:hint="default"/>
        <w:spacing w:val="-2"/>
        <w:w w:val="99"/>
        <w:sz w:val="24"/>
        <w:szCs w:val="24"/>
        <w:lang w:val="en-US" w:eastAsia="en-US" w:bidi="en-US"/>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2"/>
  </w:num>
  <w:num w:numId="2">
    <w:abstractNumId w:val="6"/>
  </w:num>
  <w:num w:numId="3">
    <w:abstractNumId w:val="1"/>
  </w:num>
  <w:num w:numId="4">
    <w:abstractNumId w:val="7"/>
  </w:num>
  <w:num w:numId="5">
    <w:abstractNumId w:val="5"/>
  </w:num>
  <w:num w:numId="6">
    <w:abstractNumId w:val="4"/>
  </w:num>
  <w:num w:numId="7">
    <w:abstractNumId w:val="3"/>
  </w:num>
  <w:num w:numId="8">
    <w:abstractNumId w:val="0"/>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6C0C7C"/>
    <w:rsid w:val="00027397"/>
    <w:rsid w:val="00152C76"/>
    <w:rsid w:val="001E7158"/>
    <w:rsid w:val="00224E32"/>
    <w:rsid w:val="002C1B97"/>
    <w:rsid w:val="002E6B54"/>
    <w:rsid w:val="002F31CE"/>
    <w:rsid w:val="002F78C9"/>
    <w:rsid w:val="003272F0"/>
    <w:rsid w:val="00393636"/>
    <w:rsid w:val="003B7F96"/>
    <w:rsid w:val="0042199F"/>
    <w:rsid w:val="005273D3"/>
    <w:rsid w:val="00610E4C"/>
    <w:rsid w:val="00644BCB"/>
    <w:rsid w:val="00680C5F"/>
    <w:rsid w:val="006C0C7C"/>
    <w:rsid w:val="006C5863"/>
    <w:rsid w:val="008A0EA0"/>
    <w:rsid w:val="00A1100D"/>
    <w:rsid w:val="00A72C1E"/>
    <w:rsid w:val="00AB6609"/>
    <w:rsid w:val="00AC4C84"/>
    <w:rsid w:val="00AD728A"/>
    <w:rsid w:val="00B1188E"/>
    <w:rsid w:val="00CE4232"/>
    <w:rsid w:val="00D64725"/>
    <w:rsid w:val="00DE62FF"/>
    <w:rsid w:val="00E150B8"/>
    <w:rsid w:val="00E77CB0"/>
    <w:rsid w:val="00E97D0A"/>
    <w:rsid w:val="00EB116A"/>
    <w:rsid w:val="00EE3DA8"/>
    <w:rsid w:val="00F90316"/>
    <w:rsid w:val="00FA50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5515FB2E"/>
  <w15:docId w15:val="{74DDDDEB-2D20-47B8-AD20-6F880AE39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ind w:left="220"/>
      <w:outlineLvl w:val="0"/>
    </w:pPr>
    <w:rPr>
      <w:b/>
      <w:bCs/>
      <w:sz w:val="24"/>
      <w:szCs w:val="24"/>
    </w:rPr>
  </w:style>
  <w:style w:type="paragraph" w:styleId="Heading2">
    <w:name w:val="heading 2"/>
    <w:basedOn w:val="Normal"/>
    <w:uiPriority w:val="1"/>
    <w:qFormat/>
    <w:pPr>
      <w:spacing w:before="200"/>
      <w:ind w:left="220"/>
      <w:outlineLvl w:val="1"/>
    </w:pPr>
    <w:rPr>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200"/>
      <w:ind w:left="940" w:hanging="7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1E7158"/>
    <w:pPr>
      <w:tabs>
        <w:tab w:val="center" w:pos="4680"/>
        <w:tab w:val="right" w:pos="9360"/>
      </w:tabs>
    </w:pPr>
  </w:style>
  <w:style w:type="character" w:customStyle="1" w:styleId="HeaderChar">
    <w:name w:val="Header Char"/>
    <w:basedOn w:val="DefaultParagraphFont"/>
    <w:link w:val="Header"/>
    <w:uiPriority w:val="99"/>
    <w:rsid w:val="001E7158"/>
    <w:rPr>
      <w:rFonts w:ascii="Times New Roman" w:eastAsia="Times New Roman" w:hAnsi="Times New Roman" w:cs="Times New Roman"/>
      <w:lang w:bidi="en-US"/>
    </w:rPr>
  </w:style>
  <w:style w:type="paragraph" w:styleId="Footer">
    <w:name w:val="footer"/>
    <w:basedOn w:val="Normal"/>
    <w:link w:val="FooterChar"/>
    <w:uiPriority w:val="99"/>
    <w:unhideWhenUsed/>
    <w:rsid w:val="001E7158"/>
    <w:pPr>
      <w:tabs>
        <w:tab w:val="center" w:pos="4680"/>
        <w:tab w:val="right" w:pos="9360"/>
      </w:tabs>
    </w:pPr>
  </w:style>
  <w:style w:type="character" w:customStyle="1" w:styleId="FooterChar">
    <w:name w:val="Footer Char"/>
    <w:basedOn w:val="DefaultParagraphFont"/>
    <w:link w:val="Footer"/>
    <w:uiPriority w:val="99"/>
    <w:rsid w:val="001E7158"/>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171495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38CCD8-6BE4-49B8-8884-B7B742C5E9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26</Pages>
  <Words>7737</Words>
  <Characters>44101</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dc:creator>
  <cp:lastModifiedBy>Betsy Loyle</cp:lastModifiedBy>
  <cp:revision>5</cp:revision>
  <dcterms:created xsi:type="dcterms:W3CDTF">2019-08-16T19:53:00Z</dcterms:created>
  <dcterms:modified xsi:type="dcterms:W3CDTF">2020-02-19T21:27:00Z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